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1149F" w14:textId="77777777" w:rsidR="00897FDB" w:rsidRDefault="00897FDB">
      <w:pPr>
        <w:rPr>
          <w:rFonts w:ascii="黑体" w:eastAsia="黑体" w:hAnsi="黑体" w:hint="eastAsia"/>
          <w:sz w:val="32"/>
          <w:szCs w:val="32"/>
        </w:rPr>
      </w:pPr>
    </w:p>
    <w:p w14:paraId="0F90D475" w14:textId="77777777" w:rsidR="00897FDB" w:rsidRDefault="00897FDB">
      <w:pPr>
        <w:jc w:val="center"/>
        <w:rPr>
          <w:rFonts w:ascii="方正小标宋_GBK" w:eastAsia="方正小标宋_GBK" w:hAnsi="宋体" w:hint="eastAsia"/>
          <w:sz w:val="44"/>
          <w:szCs w:val="44"/>
        </w:rPr>
      </w:pPr>
    </w:p>
    <w:p w14:paraId="423344ED"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中共木垒哈萨克自治县委员会党校</w:t>
      </w:r>
    </w:p>
    <w:p w14:paraId="43E80952"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7BA64BC"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4B740E4" w14:textId="77777777" w:rsidR="00897FD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5410DF9" w14:textId="77777777" w:rsidR="00897FD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BC1C434" w14:textId="77777777" w:rsidR="00897FD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390C1F4"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36D76EC"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97807F0" w14:textId="77777777" w:rsidR="00897FD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CD5519C"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A8BC31"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A487A92"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992F38D"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596511F"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B2F77E"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6CD5F76"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FD3FEAB"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2DDC6ED" w14:textId="77777777" w:rsidR="00897FD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1256602"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2C75ADB" w14:textId="77777777" w:rsidR="00897FD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4F54E69" w14:textId="77777777" w:rsidR="00897FD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1CDFD99" w14:textId="77777777" w:rsidR="00897FD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68675FA"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68D5C7"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3DE41F4" w14:textId="77777777" w:rsidR="00897FD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9527DA" w14:textId="77777777" w:rsidR="00897FD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26938F"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3F7CC17"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5D3A7E"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799A6BA"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C9DF4D4"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2C638E3"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9814E6E"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0AAB65E" w14:textId="77777777" w:rsidR="00897FD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022F6E9" w14:textId="77777777" w:rsidR="00897FD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8671C6A" w14:textId="77777777" w:rsidR="00897FDB" w:rsidRDefault="00000000">
      <w:r>
        <w:rPr>
          <w:rFonts w:ascii="仿宋_GB2312" w:eastAsia="仿宋_GB2312" w:hAnsi="仿宋_GB2312" w:cs="仿宋_GB2312" w:hint="eastAsia"/>
          <w:sz w:val="32"/>
          <w:szCs w:val="32"/>
        </w:rPr>
        <w:fldChar w:fldCharType="end"/>
      </w:r>
    </w:p>
    <w:p w14:paraId="56B9EB31" w14:textId="77777777" w:rsidR="00897FDB" w:rsidRDefault="00000000">
      <w:pPr>
        <w:rPr>
          <w:rFonts w:ascii="仿宋_GB2312" w:eastAsia="仿宋_GB2312"/>
          <w:sz w:val="32"/>
          <w:szCs w:val="32"/>
        </w:rPr>
      </w:pPr>
      <w:r>
        <w:rPr>
          <w:rFonts w:ascii="仿宋_GB2312" w:eastAsia="仿宋_GB2312" w:hint="eastAsia"/>
          <w:sz w:val="32"/>
          <w:szCs w:val="32"/>
        </w:rPr>
        <w:br w:type="page"/>
      </w:r>
    </w:p>
    <w:p w14:paraId="3580AB17" w14:textId="77777777" w:rsidR="00897FD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430679A" w14:textId="77777777" w:rsidR="00897FD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7010322" w14:textId="77777777" w:rsid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中共木垒哈萨克自治县委员会党校主要职能：</w:t>
      </w:r>
    </w:p>
    <w:p w14:paraId="06AD3F79" w14:textId="77777777" w:rsidR="00DD2E74" w:rsidRPr="00DD2E74" w:rsidRDefault="00DD2E74" w:rsidP="00DD2E74">
      <w:pPr>
        <w:ind w:firstLineChars="200" w:firstLine="640"/>
        <w:rPr>
          <w:rFonts w:ascii="仿宋_GB2312" w:eastAsia="仿宋_GB2312"/>
          <w:sz w:val="32"/>
          <w:szCs w:val="32"/>
        </w:rPr>
      </w:pPr>
      <w:r w:rsidRPr="00DD2E74">
        <w:rPr>
          <w:rFonts w:ascii="仿宋_GB2312" w:eastAsia="仿宋_GB2312" w:hint="eastAsia"/>
          <w:sz w:val="32"/>
          <w:szCs w:val="32"/>
        </w:rPr>
        <w:t>轮训县级机关、乡（镇）科级干部、村党支部书记、村委会主任和其他基层党员干部；培训科级后备干部，培训先进青年入党积极分子，培训意识形态部门领导、理论宣传骨干和组织、纪检、共青团、妇联工作人员。发挥县干部培训中心职能，培训、轮训全县各类干部；开展社会调查和教学研究，完成上级党校下达的科研项目的编写、上报工作。</w:t>
      </w:r>
    </w:p>
    <w:p w14:paraId="7003350A" w14:textId="0D04A7FD" w:rsidR="00897FDB" w:rsidRPr="00DD2E74" w:rsidRDefault="00DD2E74" w:rsidP="00DD2E74">
      <w:pPr>
        <w:ind w:firstLineChars="200" w:firstLine="640"/>
        <w:rPr>
          <w:rFonts w:ascii="仿宋_GB2312" w:eastAsia="仿宋_GB2312"/>
          <w:sz w:val="32"/>
          <w:szCs w:val="32"/>
        </w:rPr>
      </w:pPr>
      <w:r w:rsidRPr="00DD2E74">
        <w:rPr>
          <w:rFonts w:ascii="仿宋_GB2312" w:eastAsia="仿宋_GB2312" w:hint="eastAsia"/>
          <w:sz w:val="32"/>
          <w:szCs w:val="32"/>
        </w:rPr>
        <w:t>完成县委交办的其他任务。</w:t>
      </w:r>
    </w:p>
    <w:p w14:paraId="4616C661" w14:textId="77777777" w:rsidR="00897FD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2C559EB" w14:textId="77777777" w:rsidR="00897FDB" w:rsidRDefault="00000000" w:rsidP="00DD2E74">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中共木垒哈萨克自治县委员会党校2023年度，实有人数</w:t>
      </w:r>
      <w:r>
        <w:rPr>
          <w:rFonts w:ascii="仿宋_GB2312" w:eastAsia="仿宋_GB2312" w:hint="eastAsia"/>
          <w:sz w:val="32"/>
          <w:szCs w:val="32"/>
          <w:lang w:val="zh-CN"/>
        </w:rPr>
        <w:t>31</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6F518E4B" w14:textId="61C0C313" w:rsidR="00897FDB" w:rsidRPr="00DD2E74" w:rsidRDefault="00000000">
      <w:pPr>
        <w:ind w:firstLineChars="200" w:firstLine="640"/>
        <w:rPr>
          <w:rFonts w:ascii="仿宋_GB2312" w:eastAsia="仿宋_GB2312"/>
          <w:sz w:val="32"/>
          <w:szCs w:val="32"/>
        </w:rPr>
        <w:sectPr w:rsidR="00897FDB" w:rsidRPr="00DD2E74">
          <w:footerReference w:type="default" r:id="rId8"/>
          <w:pgSz w:w="11906" w:h="16838"/>
          <w:pgMar w:top="1440" w:right="1800" w:bottom="1440" w:left="1800" w:header="851" w:footer="992" w:gutter="0"/>
          <w:cols w:space="720"/>
          <w:docGrid w:type="lines" w:linePitch="312"/>
        </w:sectPr>
      </w:pPr>
      <w:r w:rsidRPr="00DD2E74">
        <w:rPr>
          <w:rFonts w:ascii="仿宋_GB2312" w:eastAsia="仿宋_GB2312" w:hint="eastAsia"/>
          <w:sz w:val="32"/>
          <w:szCs w:val="32"/>
        </w:rPr>
        <w:t>单位无下属预算单位，下设</w:t>
      </w:r>
      <w:r w:rsidR="00DD2E74">
        <w:rPr>
          <w:rFonts w:ascii="仿宋_GB2312" w:eastAsia="仿宋_GB2312" w:hint="eastAsia"/>
          <w:sz w:val="32"/>
          <w:szCs w:val="32"/>
        </w:rPr>
        <w:t>3</w:t>
      </w:r>
      <w:r w:rsidRPr="00DD2E74">
        <w:rPr>
          <w:rFonts w:ascii="仿宋_GB2312" w:eastAsia="仿宋_GB2312" w:hint="eastAsia"/>
          <w:sz w:val="32"/>
          <w:szCs w:val="32"/>
        </w:rPr>
        <w:t>个处室，分别是：</w:t>
      </w:r>
      <w:r w:rsidR="00DD2E74" w:rsidRPr="00A32EBE">
        <w:rPr>
          <w:rFonts w:ascii="仿宋_GB2312" w:eastAsia="仿宋_GB2312" w:cs="仿宋_GB2312" w:hint="eastAsia"/>
          <w:kern w:val="0"/>
          <w:sz w:val="32"/>
          <w:szCs w:val="32"/>
        </w:rPr>
        <w:t>办公室、后勤办、教务办</w:t>
      </w:r>
      <w:r w:rsidRPr="00DD2E74">
        <w:rPr>
          <w:rFonts w:ascii="仿宋_GB2312" w:eastAsia="仿宋_GB2312" w:hint="eastAsia"/>
          <w:sz w:val="32"/>
          <w:szCs w:val="32"/>
        </w:rPr>
        <w:t>。</w:t>
      </w:r>
    </w:p>
    <w:p w14:paraId="26CCCB5C" w14:textId="77777777" w:rsidR="00897FD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9A2427E" w14:textId="77777777" w:rsidR="00897FD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0DDACDA"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2023年度收入总计501.65万元，其中：本年收入合计501.65万元，使用非财政拨款结余0.00万元，年初结转和结余0.00万元。</w:t>
      </w:r>
    </w:p>
    <w:p w14:paraId="533CC8D6"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2023年度支出总计501.65万元，其中：本年支出合计501.61万元，结余分配0.00万元，年末结转和结余0.05万元。</w:t>
      </w:r>
    </w:p>
    <w:p w14:paraId="5DF1A8EF" w14:textId="71F3DC04"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DD2E74">
        <w:rPr>
          <w:rFonts w:ascii="仿宋_GB2312" w:eastAsia="仿宋_GB2312" w:hint="eastAsia"/>
          <w:sz w:val="32"/>
          <w:szCs w:val="32"/>
        </w:rPr>
        <w:t>增加60.7</w:t>
      </w:r>
      <w:r w:rsidR="005C2B20">
        <w:rPr>
          <w:rFonts w:ascii="仿宋_GB2312" w:eastAsia="仿宋_GB2312" w:hint="eastAsia"/>
          <w:sz w:val="32"/>
          <w:szCs w:val="32"/>
        </w:rPr>
        <w:t>2</w:t>
      </w:r>
      <w:r w:rsidRPr="00DD2E74">
        <w:rPr>
          <w:rFonts w:ascii="仿宋_GB2312" w:eastAsia="仿宋_GB2312" w:hint="eastAsia"/>
          <w:sz w:val="32"/>
          <w:szCs w:val="32"/>
        </w:rPr>
        <w:t>万元</w:t>
      </w:r>
      <w:r>
        <w:rPr>
          <w:rFonts w:ascii="仿宋_GB2312" w:eastAsia="仿宋_GB2312" w:hint="eastAsia"/>
          <w:sz w:val="32"/>
          <w:szCs w:val="32"/>
        </w:rPr>
        <w:t>，增长13.77%，主要原因是：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w:t>
      </w:r>
    </w:p>
    <w:p w14:paraId="1AEAD369" w14:textId="77777777" w:rsidR="00897FD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DBD1CEA" w14:textId="18B07B5E"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本年收入501.65万元，其中：财政拨款收入</w:t>
      </w:r>
      <w:r w:rsidRPr="00DD2E74">
        <w:rPr>
          <w:rFonts w:ascii="仿宋_GB2312" w:eastAsia="仿宋_GB2312" w:hint="eastAsia"/>
          <w:sz w:val="32"/>
          <w:szCs w:val="32"/>
        </w:rPr>
        <w:t>501.61</w:t>
      </w:r>
      <w:r>
        <w:rPr>
          <w:rFonts w:ascii="仿宋_GB2312" w:eastAsia="仿宋_GB2312" w:hint="eastAsia"/>
          <w:sz w:val="32"/>
          <w:szCs w:val="32"/>
        </w:rPr>
        <w:t>万元，占</w:t>
      </w:r>
      <w:r w:rsidRPr="00DD2E74">
        <w:rPr>
          <w:rFonts w:ascii="仿宋_GB2312" w:eastAsia="仿宋_GB2312" w:hint="eastAsia"/>
          <w:sz w:val="32"/>
          <w:szCs w:val="32"/>
        </w:rPr>
        <w:t>99.99</w:t>
      </w:r>
      <w:r>
        <w:rPr>
          <w:rFonts w:ascii="仿宋_GB2312" w:eastAsia="仿宋_GB2312" w:hint="eastAsia"/>
          <w:sz w:val="32"/>
          <w:szCs w:val="32"/>
        </w:rPr>
        <w:t>%；上级补助收入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%；事业收入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%；经营收入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%；附属单位上缴收入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%；其他收入</w:t>
      </w:r>
      <w:r w:rsidRPr="00DD2E74">
        <w:rPr>
          <w:rFonts w:ascii="仿宋_GB2312" w:eastAsia="仿宋_GB2312" w:hint="eastAsia"/>
          <w:sz w:val="32"/>
          <w:szCs w:val="32"/>
        </w:rPr>
        <w:t>0.0</w:t>
      </w:r>
      <w:r w:rsidR="005C2B20">
        <w:rPr>
          <w:rFonts w:ascii="仿宋_GB2312" w:eastAsia="仿宋_GB2312" w:hint="eastAsia"/>
          <w:sz w:val="32"/>
          <w:szCs w:val="32"/>
        </w:rPr>
        <w:t>5</w:t>
      </w:r>
      <w:r>
        <w:rPr>
          <w:rFonts w:ascii="仿宋_GB2312" w:eastAsia="仿宋_GB2312" w:hint="eastAsia"/>
          <w:sz w:val="32"/>
          <w:szCs w:val="32"/>
        </w:rPr>
        <w:t>万元，占</w:t>
      </w:r>
      <w:r w:rsidRPr="00DD2E74">
        <w:rPr>
          <w:rFonts w:ascii="仿宋_GB2312" w:eastAsia="仿宋_GB2312" w:hint="eastAsia"/>
          <w:sz w:val="32"/>
          <w:szCs w:val="32"/>
        </w:rPr>
        <w:t>0.01</w:t>
      </w:r>
      <w:r>
        <w:rPr>
          <w:rFonts w:ascii="仿宋_GB2312" w:eastAsia="仿宋_GB2312" w:hint="eastAsia"/>
          <w:sz w:val="32"/>
          <w:szCs w:val="32"/>
        </w:rPr>
        <w:t>%。</w:t>
      </w:r>
    </w:p>
    <w:p w14:paraId="1B0B1893" w14:textId="77777777" w:rsidR="00897FD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3BA7188" w14:textId="5F94099D"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本年支出501.61万元，其中：基本支出402.65万元，占80.27%；项目支出98.9</w:t>
      </w:r>
      <w:r w:rsidR="005C2B20">
        <w:rPr>
          <w:rFonts w:ascii="仿宋_GB2312" w:eastAsia="仿宋_GB2312" w:hint="eastAsia"/>
          <w:sz w:val="32"/>
          <w:szCs w:val="32"/>
        </w:rPr>
        <w:t>5</w:t>
      </w:r>
      <w:r w:rsidRPr="00DD2E74">
        <w:rPr>
          <w:rFonts w:ascii="仿宋_GB2312" w:eastAsia="仿宋_GB2312" w:hint="eastAsia"/>
          <w:sz w:val="32"/>
          <w:szCs w:val="32"/>
        </w:rPr>
        <w:t>万元，占19.73%；上缴上级支出0.00万元，占0.00%；经营支出0.00万元，占0.00%；对附属单位补助支出0.00万元，占0.00%。</w:t>
      </w:r>
    </w:p>
    <w:p w14:paraId="72A235BC" w14:textId="77777777" w:rsidR="00897FD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3F46A80"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DD2E74">
        <w:rPr>
          <w:rFonts w:ascii="仿宋_GB2312" w:eastAsia="仿宋_GB2312" w:hint="eastAsia"/>
          <w:sz w:val="32"/>
          <w:szCs w:val="32"/>
        </w:rPr>
        <w:t>501.61</w:t>
      </w:r>
      <w:r>
        <w:rPr>
          <w:rFonts w:ascii="仿宋_GB2312" w:eastAsia="仿宋_GB2312" w:hint="eastAsia"/>
          <w:sz w:val="32"/>
          <w:szCs w:val="32"/>
        </w:rPr>
        <w:t>万元，其中：年初财政拨款结转和结余</w:t>
      </w:r>
      <w:r w:rsidRPr="00DD2E74">
        <w:rPr>
          <w:rFonts w:ascii="仿宋_GB2312" w:eastAsia="仿宋_GB2312" w:hint="eastAsia"/>
          <w:sz w:val="32"/>
          <w:szCs w:val="32"/>
        </w:rPr>
        <w:t>0.00</w:t>
      </w:r>
      <w:r>
        <w:rPr>
          <w:rFonts w:ascii="仿宋_GB2312" w:eastAsia="仿宋_GB2312" w:hint="eastAsia"/>
          <w:sz w:val="32"/>
          <w:szCs w:val="32"/>
        </w:rPr>
        <w:t>万元，本年财政拨款收入</w:t>
      </w:r>
      <w:r w:rsidRPr="00DD2E74">
        <w:rPr>
          <w:rFonts w:ascii="仿宋_GB2312" w:eastAsia="仿宋_GB2312" w:hint="eastAsia"/>
          <w:sz w:val="32"/>
          <w:szCs w:val="32"/>
        </w:rPr>
        <w:t>501.61</w:t>
      </w:r>
      <w:r>
        <w:rPr>
          <w:rFonts w:ascii="仿宋_GB2312" w:eastAsia="仿宋_GB2312" w:hint="eastAsia"/>
          <w:sz w:val="32"/>
          <w:szCs w:val="32"/>
        </w:rPr>
        <w:t>万元。财政拨款支出总计</w:t>
      </w:r>
      <w:r w:rsidRPr="00DD2E74">
        <w:rPr>
          <w:rFonts w:ascii="仿宋_GB2312" w:eastAsia="仿宋_GB2312" w:hint="eastAsia"/>
          <w:sz w:val="32"/>
          <w:szCs w:val="32"/>
        </w:rPr>
        <w:t>501.61</w:t>
      </w:r>
      <w:r>
        <w:rPr>
          <w:rFonts w:ascii="仿宋_GB2312" w:eastAsia="仿宋_GB2312" w:hint="eastAsia"/>
          <w:sz w:val="32"/>
          <w:szCs w:val="32"/>
        </w:rPr>
        <w:t>万元，其中：年末财政拨款结转和结余</w:t>
      </w:r>
      <w:r w:rsidRPr="00DD2E74">
        <w:rPr>
          <w:rFonts w:ascii="仿宋_GB2312" w:eastAsia="仿宋_GB2312" w:hint="eastAsia"/>
          <w:sz w:val="32"/>
          <w:szCs w:val="32"/>
        </w:rPr>
        <w:t>0.00</w:t>
      </w:r>
      <w:r>
        <w:rPr>
          <w:rFonts w:ascii="仿宋_GB2312" w:eastAsia="仿宋_GB2312" w:hint="eastAsia"/>
          <w:sz w:val="32"/>
          <w:szCs w:val="32"/>
        </w:rPr>
        <w:t>万元，本年财政拨款支出</w:t>
      </w:r>
      <w:r w:rsidRPr="00DD2E74">
        <w:rPr>
          <w:rFonts w:ascii="仿宋_GB2312" w:eastAsia="仿宋_GB2312" w:hint="eastAsia"/>
          <w:sz w:val="32"/>
          <w:szCs w:val="32"/>
        </w:rPr>
        <w:t>501.61</w:t>
      </w:r>
      <w:r>
        <w:rPr>
          <w:rFonts w:ascii="仿宋_GB2312" w:eastAsia="仿宋_GB2312" w:hint="eastAsia"/>
          <w:sz w:val="32"/>
          <w:szCs w:val="32"/>
        </w:rPr>
        <w:t>万元。</w:t>
      </w:r>
    </w:p>
    <w:p w14:paraId="62A69E6B" w14:textId="63CB753E"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DD2E74">
        <w:rPr>
          <w:rFonts w:ascii="仿宋_GB2312" w:eastAsia="仿宋_GB2312" w:hint="eastAsia"/>
          <w:sz w:val="32"/>
          <w:szCs w:val="32"/>
        </w:rPr>
        <w:t>增加60.68万元</w:t>
      </w:r>
      <w:r>
        <w:rPr>
          <w:rFonts w:ascii="仿宋_GB2312" w:eastAsia="仿宋_GB2312" w:hint="eastAsia"/>
          <w:sz w:val="32"/>
          <w:szCs w:val="32"/>
        </w:rPr>
        <w:t>，增长13.76%,主要原因是：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。与年初预算相比，年初预算数</w:t>
      </w:r>
      <w:r w:rsidRPr="00DD2E74">
        <w:rPr>
          <w:rFonts w:ascii="仿宋_GB2312" w:eastAsia="仿宋_GB2312" w:hint="eastAsia"/>
          <w:sz w:val="32"/>
          <w:szCs w:val="32"/>
        </w:rPr>
        <w:t>373.36</w:t>
      </w:r>
      <w:r>
        <w:rPr>
          <w:rFonts w:ascii="仿宋_GB2312" w:eastAsia="仿宋_GB2312" w:hint="eastAsia"/>
          <w:sz w:val="32"/>
          <w:szCs w:val="32"/>
        </w:rPr>
        <w:t>万元，决算数</w:t>
      </w:r>
      <w:r w:rsidRPr="00DD2E74">
        <w:rPr>
          <w:rFonts w:ascii="仿宋_GB2312" w:eastAsia="仿宋_GB2312" w:hint="eastAsia"/>
          <w:sz w:val="32"/>
          <w:szCs w:val="32"/>
        </w:rPr>
        <w:t>501.61</w:t>
      </w:r>
      <w:r>
        <w:rPr>
          <w:rFonts w:ascii="仿宋_GB2312" w:eastAsia="仿宋_GB2312" w:hint="eastAsia"/>
          <w:sz w:val="32"/>
          <w:szCs w:val="32"/>
        </w:rPr>
        <w:t>万元，预决算差异率34.35%，主要原因是：</w:t>
      </w:r>
      <w:r w:rsidR="00B1567F">
        <w:rPr>
          <w:rFonts w:ascii="仿宋_GB2312" w:eastAsia="仿宋_GB2312" w:hint="eastAsia"/>
          <w:sz w:val="32"/>
          <w:szCs w:val="32"/>
        </w:rPr>
        <w:t>年中追加</w:t>
      </w:r>
      <w:r w:rsidR="00B1567F" w:rsidRPr="00B1567F">
        <w:rPr>
          <w:rFonts w:ascii="仿宋_GB2312" w:eastAsia="仿宋_GB2312" w:hint="eastAsia"/>
          <w:sz w:val="32"/>
          <w:szCs w:val="32"/>
        </w:rPr>
        <w:t>党校基层组织建设培训</w:t>
      </w:r>
      <w:r w:rsidR="00B1567F">
        <w:rPr>
          <w:rFonts w:ascii="仿宋_GB2312" w:eastAsia="仿宋_GB2312" w:hint="eastAsia"/>
          <w:sz w:val="32"/>
          <w:szCs w:val="32"/>
        </w:rPr>
        <w:t>项目经费、</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Pr>
          <w:rFonts w:ascii="仿宋_GB2312" w:eastAsia="仿宋_GB2312" w:hint="eastAsia"/>
          <w:sz w:val="32"/>
          <w:szCs w:val="32"/>
        </w:rPr>
        <w:t>。</w:t>
      </w:r>
    </w:p>
    <w:p w14:paraId="2D185A9F" w14:textId="77777777" w:rsidR="00897FD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A5940E2" w14:textId="77777777" w:rsidR="00897FD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D1ADDA3" w14:textId="148A06AC"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2023年度一般公共预算财政拨款支出501.61万元，占本年支出合计的</w:t>
      </w:r>
      <w:r w:rsidRPr="00DD2E74">
        <w:rPr>
          <w:rFonts w:ascii="仿宋_GB2312" w:eastAsia="仿宋_GB2312" w:hint="eastAsia"/>
          <w:sz w:val="32"/>
          <w:szCs w:val="32"/>
        </w:rPr>
        <w:t>100.00%</w:t>
      </w:r>
      <w:r>
        <w:rPr>
          <w:rFonts w:ascii="仿宋_GB2312" w:eastAsia="仿宋_GB2312" w:hint="eastAsia"/>
          <w:sz w:val="32"/>
          <w:szCs w:val="32"/>
        </w:rPr>
        <w:t>。与上年相比，</w:t>
      </w:r>
      <w:r w:rsidRPr="00DD2E74">
        <w:rPr>
          <w:rFonts w:ascii="仿宋_GB2312" w:eastAsia="仿宋_GB2312" w:hint="eastAsia"/>
          <w:sz w:val="32"/>
          <w:szCs w:val="32"/>
        </w:rPr>
        <w:t>增加60.68万元</w:t>
      </w:r>
      <w:r>
        <w:rPr>
          <w:rFonts w:ascii="仿宋_GB2312" w:eastAsia="仿宋_GB2312" w:hint="eastAsia"/>
          <w:sz w:val="32"/>
          <w:szCs w:val="32"/>
        </w:rPr>
        <w:t>，增长13.76%,主要原因是：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。与年初预算相比，年初预算数</w:t>
      </w:r>
      <w:r w:rsidRPr="00DD2E74">
        <w:rPr>
          <w:rFonts w:ascii="仿宋_GB2312" w:eastAsia="仿宋_GB2312" w:hint="eastAsia"/>
          <w:sz w:val="32"/>
          <w:szCs w:val="32"/>
        </w:rPr>
        <w:t>373.36</w:t>
      </w:r>
      <w:r>
        <w:rPr>
          <w:rFonts w:ascii="仿宋_GB2312" w:eastAsia="仿宋_GB2312" w:hint="eastAsia"/>
          <w:sz w:val="32"/>
          <w:szCs w:val="32"/>
        </w:rPr>
        <w:t>万元，决算数</w:t>
      </w:r>
      <w:r w:rsidRPr="00DD2E74">
        <w:rPr>
          <w:rFonts w:ascii="仿宋_GB2312" w:eastAsia="仿宋_GB2312" w:hint="eastAsia"/>
          <w:sz w:val="32"/>
          <w:szCs w:val="32"/>
        </w:rPr>
        <w:t>501.61</w:t>
      </w:r>
      <w:r>
        <w:rPr>
          <w:rFonts w:ascii="仿宋_GB2312" w:eastAsia="仿宋_GB2312" w:hint="eastAsia"/>
          <w:sz w:val="32"/>
          <w:szCs w:val="32"/>
        </w:rPr>
        <w:t>万元，预决算差异率</w:t>
      </w:r>
      <w:r w:rsidRPr="00DD2E74">
        <w:rPr>
          <w:rFonts w:ascii="仿宋_GB2312" w:eastAsia="仿宋_GB2312" w:hint="eastAsia"/>
          <w:sz w:val="32"/>
          <w:szCs w:val="32"/>
        </w:rPr>
        <w:t>34.35%</w:t>
      </w:r>
      <w:r>
        <w:rPr>
          <w:rFonts w:ascii="仿宋_GB2312" w:eastAsia="仿宋_GB2312" w:hint="eastAsia"/>
          <w:sz w:val="32"/>
          <w:szCs w:val="32"/>
        </w:rPr>
        <w:t>，主要原因是：</w:t>
      </w:r>
      <w:r w:rsidR="00B1567F">
        <w:rPr>
          <w:rFonts w:ascii="仿宋_GB2312" w:eastAsia="仿宋_GB2312" w:hint="eastAsia"/>
          <w:sz w:val="32"/>
          <w:szCs w:val="32"/>
        </w:rPr>
        <w:t>年中追加</w:t>
      </w:r>
      <w:r w:rsidR="00B1567F" w:rsidRPr="00B1567F">
        <w:rPr>
          <w:rFonts w:ascii="仿宋_GB2312" w:eastAsia="仿宋_GB2312" w:hint="eastAsia"/>
          <w:sz w:val="32"/>
          <w:szCs w:val="32"/>
        </w:rPr>
        <w:t>党校基层组织建设培训</w:t>
      </w:r>
      <w:r w:rsidR="00B1567F">
        <w:rPr>
          <w:rFonts w:ascii="仿宋_GB2312" w:eastAsia="仿宋_GB2312" w:hint="eastAsia"/>
          <w:sz w:val="32"/>
          <w:szCs w:val="32"/>
        </w:rPr>
        <w:t>项目经费、</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Pr>
          <w:rFonts w:ascii="仿宋_GB2312" w:eastAsia="仿宋_GB2312" w:hint="eastAsia"/>
          <w:sz w:val="32"/>
          <w:szCs w:val="32"/>
        </w:rPr>
        <w:t>。</w:t>
      </w:r>
    </w:p>
    <w:p w14:paraId="3AB5B79E" w14:textId="77777777" w:rsidR="00897FD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6851F68C"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sz w:val="32"/>
          <w:szCs w:val="32"/>
        </w:rPr>
        <w:t>1.一般公共服务支出（类）</w:t>
      </w:r>
      <w:r w:rsidRPr="00DD2E74">
        <w:rPr>
          <w:rFonts w:ascii="仿宋_GB2312" w:eastAsia="仿宋_GB2312" w:hint="eastAsia"/>
          <w:sz w:val="32"/>
          <w:szCs w:val="32"/>
        </w:rPr>
        <w:t>30.00</w:t>
      </w:r>
      <w:r w:rsidRPr="00DD2E74">
        <w:rPr>
          <w:rFonts w:ascii="仿宋_GB2312" w:eastAsia="仿宋_GB2312"/>
          <w:sz w:val="32"/>
          <w:szCs w:val="32"/>
        </w:rPr>
        <w:t>万元，占</w:t>
      </w:r>
      <w:r w:rsidRPr="00DD2E74">
        <w:rPr>
          <w:rFonts w:ascii="仿宋_GB2312" w:eastAsia="仿宋_GB2312" w:hint="eastAsia"/>
          <w:sz w:val="32"/>
          <w:szCs w:val="32"/>
        </w:rPr>
        <w:t>5.98</w:t>
      </w:r>
      <w:r w:rsidRPr="00DD2E74">
        <w:rPr>
          <w:rFonts w:ascii="仿宋_GB2312" w:eastAsia="仿宋_GB2312"/>
          <w:sz w:val="32"/>
          <w:szCs w:val="32"/>
        </w:rPr>
        <w:t>%；</w:t>
      </w:r>
    </w:p>
    <w:p w14:paraId="5E4B6FEF" w14:textId="484ACC32"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2</w:t>
      </w:r>
      <w:r w:rsidRPr="00DD2E74">
        <w:rPr>
          <w:rFonts w:ascii="仿宋_GB2312" w:eastAsia="仿宋_GB2312"/>
          <w:sz w:val="32"/>
          <w:szCs w:val="32"/>
        </w:rPr>
        <w:t>.教育支出（类）</w:t>
      </w:r>
      <w:r w:rsidRPr="00DD2E74">
        <w:rPr>
          <w:rFonts w:ascii="仿宋_GB2312" w:eastAsia="仿宋_GB2312" w:hint="eastAsia"/>
          <w:sz w:val="32"/>
          <w:szCs w:val="32"/>
        </w:rPr>
        <w:t>440.39</w:t>
      </w:r>
      <w:r w:rsidRPr="00DD2E74">
        <w:rPr>
          <w:rFonts w:ascii="仿宋_GB2312" w:eastAsia="仿宋_GB2312"/>
          <w:sz w:val="32"/>
          <w:szCs w:val="32"/>
        </w:rPr>
        <w:t>万元，占</w:t>
      </w:r>
      <w:r w:rsidRPr="00DD2E74">
        <w:rPr>
          <w:rFonts w:ascii="仿宋_GB2312" w:eastAsia="仿宋_GB2312" w:hint="eastAsia"/>
          <w:sz w:val="32"/>
          <w:szCs w:val="32"/>
        </w:rPr>
        <w:t>87.80</w:t>
      </w:r>
      <w:r w:rsidRPr="00DD2E74">
        <w:rPr>
          <w:rFonts w:ascii="仿宋_GB2312" w:eastAsia="仿宋_GB2312"/>
          <w:sz w:val="32"/>
          <w:szCs w:val="32"/>
        </w:rPr>
        <w:t>%；</w:t>
      </w:r>
    </w:p>
    <w:p w14:paraId="5D4DCF67" w14:textId="281BCD61"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3</w:t>
      </w:r>
      <w:r w:rsidRPr="00DD2E74">
        <w:rPr>
          <w:rFonts w:ascii="仿宋_GB2312" w:eastAsia="仿宋_GB2312"/>
          <w:sz w:val="32"/>
          <w:szCs w:val="32"/>
        </w:rPr>
        <w:t>.社会保障和就业支出（类）</w:t>
      </w:r>
      <w:r w:rsidRPr="00DD2E74">
        <w:rPr>
          <w:rFonts w:ascii="仿宋_GB2312" w:eastAsia="仿宋_GB2312" w:hint="eastAsia"/>
          <w:sz w:val="32"/>
          <w:szCs w:val="32"/>
        </w:rPr>
        <w:t>21.30</w:t>
      </w:r>
      <w:r w:rsidRPr="00DD2E74">
        <w:rPr>
          <w:rFonts w:ascii="仿宋_GB2312" w:eastAsia="仿宋_GB2312"/>
          <w:sz w:val="32"/>
          <w:szCs w:val="32"/>
        </w:rPr>
        <w:t>万元，占</w:t>
      </w:r>
      <w:r w:rsidRPr="00DD2E74">
        <w:rPr>
          <w:rFonts w:ascii="仿宋_GB2312" w:eastAsia="仿宋_GB2312" w:hint="eastAsia"/>
          <w:sz w:val="32"/>
          <w:szCs w:val="32"/>
        </w:rPr>
        <w:t>4.25</w:t>
      </w:r>
      <w:r w:rsidRPr="00DD2E74">
        <w:rPr>
          <w:rFonts w:ascii="仿宋_GB2312" w:eastAsia="仿宋_GB2312"/>
          <w:sz w:val="32"/>
          <w:szCs w:val="32"/>
        </w:rPr>
        <w:t>%；</w:t>
      </w:r>
    </w:p>
    <w:p w14:paraId="47AA70E7" w14:textId="4A0D7F78"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4</w:t>
      </w:r>
      <w:r w:rsidRPr="00DD2E74">
        <w:rPr>
          <w:rFonts w:ascii="仿宋_GB2312" w:eastAsia="仿宋_GB2312"/>
          <w:sz w:val="32"/>
          <w:szCs w:val="32"/>
        </w:rPr>
        <w:t>.其他支出（类）</w:t>
      </w:r>
      <w:r w:rsidRPr="00DD2E74">
        <w:rPr>
          <w:rFonts w:ascii="仿宋_GB2312" w:eastAsia="仿宋_GB2312" w:hint="eastAsia"/>
          <w:sz w:val="32"/>
          <w:szCs w:val="32"/>
        </w:rPr>
        <w:t>9.91</w:t>
      </w:r>
      <w:r w:rsidRPr="00DD2E74">
        <w:rPr>
          <w:rFonts w:ascii="仿宋_GB2312" w:eastAsia="仿宋_GB2312"/>
          <w:sz w:val="32"/>
          <w:szCs w:val="32"/>
        </w:rPr>
        <w:t>万元，占</w:t>
      </w:r>
      <w:r w:rsidRPr="00DD2E74">
        <w:rPr>
          <w:rFonts w:ascii="仿宋_GB2312" w:eastAsia="仿宋_GB2312" w:hint="eastAsia"/>
          <w:sz w:val="32"/>
          <w:szCs w:val="32"/>
        </w:rPr>
        <w:t>1.98</w:t>
      </w:r>
      <w:r w:rsidRPr="00DD2E74">
        <w:rPr>
          <w:rFonts w:ascii="仿宋_GB2312" w:eastAsia="仿宋_GB2312"/>
          <w:sz w:val="32"/>
          <w:szCs w:val="32"/>
        </w:rPr>
        <w:t>%</w:t>
      </w:r>
      <w:r>
        <w:rPr>
          <w:rFonts w:ascii="仿宋_GB2312" w:eastAsia="仿宋_GB2312" w:hint="eastAsia"/>
          <w:sz w:val="32"/>
          <w:szCs w:val="32"/>
        </w:rPr>
        <w:t>。</w:t>
      </w:r>
    </w:p>
    <w:p w14:paraId="049AC5C7" w14:textId="77777777" w:rsidR="00897FD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0A2223C" w14:textId="357000E1"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1.教育支出（类）进修及培训（款）干部教育（项）:支出决算数为440.39万元，比上年决算增加115.08万元，增长35.38%，主要原因是：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Pr="00DD2E74">
        <w:rPr>
          <w:rFonts w:ascii="仿宋_GB2312" w:eastAsia="仿宋_GB2312" w:hint="eastAsia"/>
          <w:sz w:val="32"/>
          <w:szCs w:val="32"/>
        </w:rPr>
        <w:t>。</w:t>
      </w:r>
    </w:p>
    <w:p w14:paraId="27082174" w14:textId="437B69C7"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2.社会保障和就业支出（类）行政事业单位养老支出（款）事业单位离退休（项）:支出决算数为4.18万元，比上年决算增加2.34万元，增长126.81%，主要原因是：</w:t>
      </w:r>
      <w:r w:rsidR="00B1567F" w:rsidRPr="00B1567F">
        <w:rPr>
          <w:rFonts w:ascii="仿宋_GB2312" w:eastAsia="仿宋_GB2312" w:hint="eastAsia"/>
          <w:sz w:val="32"/>
          <w:szCs w:val="32"/>
        </w:rPr>
        <w:t>单位本年退休人员交通补助、取暖费增加</w:t>
      </w:r>
      <w:r w:rsidRPr="00DD2E74">
        <w:rPr>
          <w:rFonts w:ascii="仿宋_GB2312" w:eastAsia="仿宋_GB2312" w:hint="eastAsia"/>
          <w:sz w:val="32"/>
          <w:szCs w:val="32"/>
        </w:rPr>
        <w:t>。</w:t>
      </w:r>
    </w:p>
    <w:p w14:paraId="7DF827D1" w14:textId="3870D185"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3.一般公共服务支出（类）其他一般公共服务支出（款）其他一般公共服务支出（项）:支出决算数为30.00万元，比上年决算减少5.96万元，下降16.57%，主要原因是：</w:t>
      </w:r>
      <w:r w:rsidR="00B1567F" w:rsidRPr="00B1567F">
        <w:rPr>
          <w:rFonts w:ascii="仿宋_GB2312" w:eastAsia="仿宋_GB2312" w:hint="eastAsia"/>
          <w:sz w:val="32"/>
          <w:szCs w:val="32"/>
        </w:rPr>
        <w:t>2023年</w:t>
      </w:r>
      <w:r w:rsidR="00B1567F">
        <w:rPr>
          <w:rFonts w:ascii="仿宋_GB2312" w:eastAsia="仿宋_GB2312" w:hint="eastAsia"/>
          <w:sz w:val="32"/>
          <w:szCs w:val="32"/>
        </w:rPr>
        <w:t>党校</w:t>
      </w:r>
      <w:r w:rsidR="00B1567F" w:rsidRPr="00B1567F">
        <w:rPr>
          <w:rFonts w:ascii="仿宋_GB2312" w:eastAsia="仿宋_GB2312" w:hint="eastAsia"/>
          <w:sz w:val="32"/>
          <w:szCs w:val="32"/>
        </w:rPr>
        <w:t>基层组织建设</w:t>
      </w:r>
      <w:r w:rsidR="00B1567F">
        <w:rPr>
          <w:rFonts w:ascii="仿宋_GB2312" w:eastAsia="仿宋_GB2312" w:hint="eastAsia"/>
          <w:sz w:val="32"/>
          <w:szCs w:val="32"/>
        </w:rPr>
        <w:t>项目经费减少</w:t>
      </w:r>
      <w:r w:rsidRPr="00DD2E74">
        <w:rPr>
          <w:rFonts w:ascii="仿宋_GB2312" w:eastAsia="仿宋_GB2312" w:hint="eastAsia"/>
          <w:sz w:val="32"/>
          <w:szCs w:val="32"/>
        </w:rPr>
        <w:t>。</w:t>
      </w:r>
    </w:p>
    <w:p w14:paraId="341C8479" w14:textId="2756CB1C"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4.社会保障和就业支出（类）行政事业单位养老支出（款）机关事业单位职业年金缴费支出（项）:支出决算数为17.12万元，比上年决算增加7.76万元，增长82.95%，主要原因是：</w:t>
      </w:r>
      <w:r w:rsidR="00B1567F" w:rsidRPr="00B1567F">
        <w:rPr>
          <w:rFonts w:ascii="仿宋_GB2312" w:eastAsia="仿宋_GB2312" w:hint="eastAsia"/>
          <w:sz w:val="32"/>
          <w:szCs w:val="32"/>
        </w:rPr>
        <w:t>单位本年补缴以前年度职业年金费用</w:t>
      </w:r>
      <w:r w:rsidRPr="00DD2E74">
        <w:rPr>
          <w:rFonts w:ascii="仿宋_GB2312" w:eastAsia="仿宋_GB2312" w:hint="eastAsia"/>
          <w:sz w:val="32"/>
          <w:szCs w:val="32"/>
        </w:rPr>
        <w:t>。</w:t>
      </w:r>
    </w:p>
    <w:p w14:paraId="4512E010" w14:textId="1E96F8C8"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lastRenderedPageBreak/>
        <w:t>5.其他支出（类）其他支出（款）其他支出（项）:支出决算数为9.91万元，比上年决算增加6.51万元，增长191.12%，主要原因是：</w:t>
      </w:r>
      <w:r w:rsidR="00B1567F">
        <w:rPr>
          <w:rFonts w:ascii="仿宋_GB2312" w:eastAsia="仿宋_GB2312" w:hint="eastAsia"/>
          <w:sz w:val="32"/>
          <w:szCs w:val="32"/>
        </w:rPr>
        <w:t>单位本年</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sidRPr="00DD2E74">
        <w:rPr>
          <w:rFonts w:ascii="仿宋_GB2312" w:eastAsia="仿宋_GB2312" w:hint="eastAsia"/>
          <w:sz w:val="32"/>
          <w:szCs w:val="32"/>
        </w:rPr>
        <w:t>。</w:t>
      </w:r>
    </w:p>
    <w:p w14:paraId="002A91F2" w14:textId="27F481EF"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6.住房保障支出（类）住房改革支出（款）住房公积金（项）:支出决算数为0.00万元，比上年决算减少28.40万元，下降100%，主要原因是：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w:t>
      </w:r>
    </w:p>
    <w:p w14:paraId="7C2D9301" w14:textId="0DCCF113"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7.社会保障和就业支出（类）行政事业单位养老支出（款）机关事业单位基本养老保险缴费支出（项）:支出决算数为0.00万元，比上年决算减少36.65万元，下降100%，主要原因是：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w:t>
      </w:r>
    </w:p>
    <w:p w14:paraId="7B6D8000"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2D48B25" w14:textId="0A492CB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402.65万元，其中：人员经费394.84万元，包括：基本工资、津贴补贴、奖金、机关事业单位基本养老保险缴费、职业年金缴费、职工基本医疗保险缴费、公务员医疗补助缴费、其他社会保障缴费、住房公积金、退休费、奖励金、其他对个人和家庭的补助。</w:t>
      </w:r>
    </w:p>
    <w:p w14:paraId="304ADD9C" w14:textId="584BCED3" w:rsidR="00897FDB" w:rsidRPr="00DD2E74" w:rsidRDefault="00000000" w:rsidP="00DD2E74">
      <w:pPr>
        <w:ind w:firstLineChars="200" w:firstLine="640"/>
        <w:rPr>
          <w:rFonts w:ascii="仿宋_GB2312" w:eastAsia="仿宋_GB2312"/>
          <w:sz w:val="32"/>
          <w:szCs w:val="32"/>
        </w:rPr>
      </w:pPr>
      <w:r>
        <w:rPr>
          <w:rFonts w:ascii="仿宋_GB2312" w:eastAsia="仿宋_GB2312" w:hint="eastAsia"/>
          <w:sz w:val="32"/>
          <w:szCs w:val="32"/>
        </w:rPr>
        <w:t>公用经费7.81万元，包括：办公费、水费、电费、邮电费、差旅费、公务接待费</w:t>
      </w:r>
      <w:r w:rsidRPr="00DD2E74">
        <w:rPr>
          <w:rFonts w:ascii="仿宋_GB2312" w:eastAsia="仿宋_GB2312" w:hint="eastAsia"/>
          <w:sz w:val="32"/>
          <w:szCs w:val="32"/>
        </w:rPr>
        <w:t>。</w:t>
      </w:r>
    </w:p>
    <w:p w14:paraId="4324841C"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AED093A" w14:textId="23EEC0A5"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2023年度</w:t>
      </w:r>
      <w:r>
        <w:rPr>
          <w:rFonts w:ascii="仿宋_GB2312" w:eastAsia="仿宋_GB2312" w:hint="eastAsia"/>
          <w:sz w:val="32"/>
          <w:szCs w:val="32"/>
        </w:rPr>
        <w:t>财政拨款</w:t>
      </w:r>
      <w:r w:rsidRPr="00DD2E74">
        <w:rPr>
          <w:rFonts w:ascii="仿宋_GB2312" w:eastAsia="仿宋_GB2312" w:hint="eastAsia"/>
          <w:sz w:val="32"/>
          <w:szCs w:val="32"/>
        </w:rPr>
        <w:t>“三公”经费支出0.10万元，</w:t>
      </w:r>
      <w:r>
        <w:rPr>
          <w:rFonts w:ascii="仿宋_GB2312" w:eastAsia="仿宋_GB2312" w:hint="eastAsia"/>
          <w:sz w:val="32"/>
          <w:szCs w:val="32"/>
        </w:rPr>
        <w:t>比上</w:t>
      </w:r>
      <w:r>
        <w:rPr>
          <w:rFonts w:ascii="仿宋_GB2312" w:eastAsia="仿宋_GB2312" w:hint="eastAsia"/>
          <w:sz w:val="32"/>
          <w:szCs w:val="32"/>
        </w:rPr>
        <w:lastRenderedPageBreak/>
        <w:t>年</w:t>
      </w:r>
      <w:r w:rsidRPr="00DD2E74">
        <w:rPr>
          <w:rFonts w:ascii="仿宋_GB2312" w:eastAsia="仿宋_GB2312" w:hint="eastAsia"/>
          <w:sz w:val="32"/>
          <w:szCs w:val="32"/>
        </w:rPr>
        <w:t>减少0.03万元，</w:t>
      </w:r>
      <w:r>
        <w:rPr>
          <w:rFonts w:ascii="仿宋_GB2312" w:eastAsia="仿宋_GB2312" w:hint="eastAsia"/>
          <w:sz w:val="32"/>
          <w:szCs w:val="32"/>
        </w:rPr>
        <w:t>下降</w:t>
      </w:r>
      <w:r w:rsidR="005C2B20">
        <w:rPr>
          <w:rFonts w:ascii="仿宋_GB2312" w:eastAsia="仿宋_GB2312" w:hint="eastAsia"/>
          <w:sz w:val="32"/>
          <w:szCs w:val="32"/>
        </w:rPr>
        <w:t>23.08</w:t>
      </w:r>
      <w:r>
        <w:rPr>
          <w:rFonts w:ascii="仿宋_GB2312" w:eastAsia="仿宋_GB2312" w:hint="eastAsia"/>
          <w:sz w:val="32"/>
          <w:szCs w:val="32"/>
        </w:rPr>
        <w:t>%,</w:t>
      </w:r>
      <w:r w:rsidRPr="00DD2E74">
        <w:rPr>
          <w:rFonts w:ascii="仿宋_GB2312" w:eastAsia="仿宋_GB2312" w:hint="eastAsia"/>
          <w:sz w:val="32"/>
          <w:szCs w:val="32"/>
        </w:rPr>
        <w:t>主要原因是：</w:t>
      </w:r>
      <w:r w:rsidR="00B1567F" w:rsidRPr="00B1567F">
        <w:rPr>
          <w:rFonts w:ascii="仿宋_GB2312" w:eastAsia="仿宋_GB2312" w:hint="eastAsia"/>
          <w:sz w:val="32"/>
          <w:szCs w:val="32"/>
        </w:rPr>
        <w:t>绿色出行，车辆维修维护费、燃油费等减少</w:t>
      </w:r>
      <w:r w:rsidRPr="00DD2E74">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DD2E74">
        <w:rPr>
          <w:rFonts w:ascii="仿宋_GB2312" w:eastAsia="仿宋_GB2312" w:hint="eastAsia"/>
          <w:sz w:val="32"/>
          <w:szCs w:val="32"/>
        </w:rPr>
        <w:t>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；公务用车购置及运行维护费支出0.00万元，占0.00%，比上年减少0.13万元，</w:t>
      </w:r>
      <w:r>
        <w:rPr>
          <w:rFonts w:ascii="仿宋_GB2312" w:eastAsia="仿宋_GB2312" w:hint="eastAsia"/>
          <w:sz w:val="32"/>
          <w:szCs w:val="32"/>
        </w:rPr>
        <w:t>下降100.00%,</w:t>
      </w:r>
      <w:r w:rsidRPr="00DD2E74">
        <w:rPr>
          <w:rFonts w:ascii="仿宋_GB2312" w:eastAsia="仿宋_GB2312" w:hint="eastAsia"/>
          <w:sz w:val="32"/>
          <w:szCs w:val="32"/>
        </w:rPr>
        <w:t>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；公务接待费支出0.10万元，占100.00%，比上年增加0.10万元，</w:t>
      </w:r>
      <w:r>
        <w:rPr>
          <w:rFonts w:ascii="仿宋_GB2312" w:eastAsia="仿宋_GB2312" w:hint="eastAsia"/>
          <w:sz w:val="32"/>
          <w:szCs w:val="32"/>
        </w:rPr>
        <w:t>增长100.00%,</w:t>
      </w:r>
      <w:r w:rsidRPr="00DD2E74">
        <w:rPr>
          <w:rFonts w:ascii="仿宋_GB2312" w:eastAsia="仿宋_GB2312" w:hint="eastAsia"/>
          <w:sz w:val="32"/>
          <w:szCs w:val="32"/>
        </w:rPr>
        <w:t>主要原因是：</w:t>
      </w:r>
      <w:r w:rsidR="00DD2E74">
        <w:rPr>
          <w:rFonts w:ascii="仿宋_GB2312" w:eastAsia="仿宋_GB2312" w:hint="eastAsia"/>
          <w:sz w:val="32"/>
          <w:szCs w:val="32"/>
        </w:rPr>
        <w:t>单位本年纪检监察巡视次数增加，</w:t>
      </w:r>
      <w:r w:rsidR="00B1567F">
        <w:rPr>
          <w:rFonts w:ascii="仿宋_GB2312" w:eastAsia="仿宋_GB2312" w:hint="eastAsia"/>
          <w:sz w:val="32"/>
          <w:szCs w:val="32"/>
        </w:rPr>
        <w:t>公务接待次数增加</w:t>
      </w:r>
      <w:r w:rsidRPr="00DD2E74">
        <w:rPr>
          <w:rFonts w:ascii="仿宋_GB2312" w:eastAsia="仿宋_GB2312" w:hint="eastAsia"/>
          <w:sz w:val="32"/>
          <w:szCs w:val="32"/>
        </w:rPr>
        <w:t>。</w:t>
      </w:r>
    </w:p>
    <w:p w14:paraId="2287D4DB"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具体情况如下：</w:t>
      </w:r>
    </w:p>
    <w:p w14:paraId="4FFDA6DB" w14:textId="23AD7442"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因公出国（境）费支出0.00万元，开支内容包括</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。单位全年安排的因公出国（境）团组0个，因公出国（境）0人次。</w:t>
      </w:r>
    </w:p>
    <w:p w14:paraId="50F6FC78" w14:textId="36BC8C85" w:rsidR="00897FDB"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DD2E74">
        <w:rPr>
          <w:rFonts w:ascii="仿宋_GB2312" w:eastAsia="仿宋_GB2312" w:hint="eastAsia"/>
          <w:sz w:val="32"/>
          <w:szCs w:val="32"/>
        </w:rPr>
        <w:t>0辆，</w:t>
      </w:r>
      <w:r>
        <w:rPr>
          <w:rFonts w:ascii="仿宋_GB2312" w:eastAsia="仿宋_GB2312" w:hint="eastAsia"/>
          <w:sz w:val="32"/>
          <w:szCs w:val="32"/>
        </w:rPr>
        <w:t>与</w:t>
      </w:r>
      <w:r w:rsidRPr="00DD2E74">
        <w:rPr>
          <w:rFonts w:ascii="仿宋_GB2312" w:eastAsia="仿宋_GB2312" w:hint="eastAsia"/>
          <w:sz w:val="32"/>
          <w:szCs w:val="32"/>
        </w:rPr>
        <w:t>公务用车</w:t>
      </w:r>
      <w:r>
        <w:rPr>
          <w:rFonts w:ascii="仿宋_GB2312" w:eastAsia="仿宋_GB2312" w:hint="eastAsia"/>
          <w:sz w:val="32"/>
          <w:szCs w:val="32"/>
        </w:rPr>
        <w:t>保有量差异</w:t>
      </w:r>
      <w:r w:rsidRPr="00DD2E74">
        <w:rPr>
          <w:rFonts w:ascii="仿宋_GB2312" w:eastAsia="仿宋_GB2312" w:hint="eastAsia"/>
          <w:sz w:val="32"/>
          <w:szCs w:val="32"/>
        </w:rPr>
        <w:t>原因是：</w:t>
      </w:r>
      <w:r w:rsidR="00DD2E74">
        <w:rPr>
          <w:rFonts w:ascii="仿宋_GB2312" w:eastAsia="仿宋_GB2312" w:hint="eastAsia"/>
          <w:sz w:val="32"/>
          <w:szCs w:val="32"/>
        </w:rPr>
        <w:t>对比无差异</w:t>
      </w:r>
      <w:r w:rsidRPr="00DD2E74">
        <w:rPr>
          <w:rFonts w:ascii="仿宋_GB2312" w:eastAsia="仿宋_GB2312" w:hint="eastAsia"/>
          <w:sz w:val="32"/>
          <w:szCs w:val="32"/>
        </w:rPr>
        <w:t>。</w:t>
      </w:r>
    </w:p>
    <w:p w14:paraId="2E406A6D" w14:textId="790B0C21"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公务接待费0.10万元，开支内容包括</w:t>
      </w:r>
      <w:r w:rsidR="00DD2E74">
        <w:rPr>
          <w:rFonts w:ascii="仿宋_GB2312" w:eastAsia="仿宋_GB2312" w:hint="eastAsia"/>
          <w:sz w:val="32"/>
          <w:szCs w:val="32"/>
        </w:rPr>
        <w:t>餐费、住宿费等</w:t>
      </w:r>
      <w:r w:rsidRPr="00DD2E74">
        <w:rPr>
          <w:rFonts w:ascii="仿宋_GB2312" w:eastAsia="仿宋_GB2312" w:hint="eastAsia"/>
          <w:sz w:val="32"/>
          <w:szCs w:val="32"/>
        </w:rPr>
        <w:t>。单位全年安排的国内公务接待3批次，20人次。</w:t>
      </w:r>
    </w:p>
    <w:p w14:paraId="783FA179" w14:textId="05AEE0AF"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与</w:t>
      </w:r>
      <w:r>
        <w:rPr>
          <w:rFonts w:ascii="仿宋_GB2312" w:eastAsia="仿宋_GB2312" w:hint="eastAsia"/>
          <w:sz w:val="32"/>
          <w:szCs w:val="32"/>
        </w:rPr>
        <w:t>全年</w:t>
      </w:r>
      <w:r w:rsidRPr="00DD2E74">
        <w:rPr>
          <w:rFonts w:ascii="仿宋_GB2312" w:eastAsia="仿宋_GB2312" w:hint="eastAsia"/>
          <w:sz w:val="32"/>
          <w:szCs w:val="32"/>
        </w:rPr>
        <w:t>预算相比</w:t>
      </w:r>
      <w:r>
        <w:rPr>
          <w:rFonts w:ascii="仿宋_GB2312" w:eastAsia="仿宋_GB2312" w:hint="eastAsia"/>
          <w:sz w:val="32"/>
          <w:szCs w:val="32"/>
        </w:rPr>
        <w:t>,</w:t>
      </w:r>
      <w:r w:rsidRPr="00DD2E74">
        <w:rPr>
          <w:rFonts w:ascii="仿宋_GB2312" w:eastAsia="仿宋_GB2312" w:hint="eastAsia"/>
          <w:sz w:val="32"/>
          <w:szCs w:val="32"/>
        </w:rPr>
        <w:t>财政拨款“三公”经费支出</w:t>
      </w:r>
      <w:r>
        <w:rPr>
          <w:rFonts w:ascii="仿宋_GB2312" w:eastAsia="仿宋_GB2312" w:hint="eastAsia"/>
          <w:sz w:val="32"/>
          <w:szCs w:val="32"/>
        </w:rPr>
        <w:t>全年</w:t>
      </w:r>
      <w:r w:rsidRPr="00DD2E74">
        <w:rPr>
          <w:rFonts w:ascii="仿宋_GB2312" w:eastAsia="仿宋_GB2312" w:hint="eastAsia"/>
          <w:sz w:val="32"/>
          <w:szCs w:val="32"/>
        </w:rPr>
        <w:t>预算</w:t>
      </w:r>
      <w:r w:rsidRPr="00DD2E74">
        <w:rPr>
          <w:rFonts w:ascii="仿宋_GB2312" w:eastAsia="仿宋_GB2312" w:hint="eastAsia"/>
          <w:sz w:val="32"/>
          <w:szCs w:val="32"/>
        </w:rPr>
        <w:lastRenderedPageBreak/>
        <w:t>数0.10万元，决算数0.10万元，预决算差异率0.00%，主要原因是：</w:t>
      </w:r>
      <w:r w:rsidR="00DD2E74" w:rsidRPr="00DD2E74">
        <w:rPr>
          <w:rFonts w:ascii="仿宋_GB2312" w:eastAsia="仿宋_GB2312" w:hint="eastAsia"/>
          <w:sz w:val="32"/>
          <w:szCs w:val="32"/>
        </w:rPr>
        <w:t>严格按预算执行，预决算对比无差异</w:t>
      </w:r>
      <w:r w:rsidRPr="00DD2E74">
        <w:rPr>
          <w:rFonts w:ascii="仿宋_GB2312" w:eastAsia="仿宋_GB2312" w:hint="eastAsia"/>
          <w:sz w:val="32"/>
          <w:szCs w:val="32"/>
        </w:rPr>
        <w:t>。其中：因公出国（境）费</w:t>
      </w:r>
      <w:r>
        <w:rPr>
          <w:rFonts w:ascii="仿宋_GB2312" w:eastAsia="仿宋_GB2312" w:hint="eastAsia"/>
          <w:sz w:val="32"/>
          <w:szCs w:val="32"/>
        </w:rPr>
        <w:t>全年预算数</w:t>
      </w:r>
      <w:r w:rsidRPr="00DD2E74">
        <w:rPr>
          <w:rFonts w:ascii="仿宋_GB2312" w:eastAsia="仿宋_GB2312" w:hint="eastAsia"/>
          <w:sz w:val="32"/>
          <w:szCs w:val="32"/>
        </w:rPr>
        <w:t>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；公务用车购置费</w:t>
      </w:r>
      <w:r>
        <w:rPr>
          <w:rFonts w:ascii="仿宋_GB2312" w:eastAsia="仿宋_GB2312" w:hint="eastAsia"/>
          <w:sz w:val="32"/>
          <w:szCs w:val="32"/>
        </w:rPr>
        <w:t>全年</w:t>
      </w:r>
      <w:r w:rsidRPr="00DD2E74">
        <w:rPr>
          <w:rFonts w:ascii="仿宋_GB2312" w:eastAsia="仿宋_GB2312" w:hint="eastAsia"/>
          <w:sz w:val="32"/>
          <w:szCs w:val="32"/>
        </w:rPr>
        <w:t>预算数0.00万元，决算数0.00万元，预决算差异率0.00%，主要原因是：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；公务用车运行费</w:t>
      </w:r>
      <w:r>
        <w:rPr>
          <w:rFonts w:ascii="仿宋_GB2312" w:eastAsia="仿宋_GB2312" w:hint="eastAsia"/>
          <w:sz w:val="32"/>
          <w:szCs w:val="32"/>
        </w:rPr>
        <w:t>全年</w:t>
      </w:r>
      <w:r w:rsidRPr="00DD2E74">
        <w:rPr>
          <w:rFonts w:ascii="仿宋_GB2312" w:eastAsia="仿宋_GB2312" w:hint="eastAsia"/>
          <w:sz w:val="32"/>
          <w:szCs w:val="32"/>
        </w:rPr>
        <w:t>预算数0.00万元，决算数0.00万元，预决算差异率0.00%，主要原因是：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；公务接待费</w:t>
      </w:r>
      <w:r>
        <w:rPr>
          <w:rFonts w:ascii="仿宋_GB2312" w:eastAsia="仿宋_GB2312" w:hint="eastAsia"/>
          <w:sz w:val="32"/>
          <w:szCs w:val="32"/>
        </w:rPr>
        <w:t>全年</w:t>
      </w:r>
      <w:r w:rsidRPr="00DD2E74">
        <w:rPr>
          <w:rFonts w:ascii="仿宋_GB2312" w:eastAsia="仿宋_GB2312" w:hint="eastAsia"/>
          <w:sz w:val="32"/>
          <w:szCs w:val="32"/>
        </w:rPr>
        <w:t>预算数0.10万元，决算数0.10万元，预决算差异率0.00%，主要原因是：</w:t>
      </w:r>
      <w:r w:rsidR="00DD2E74" w:rsidRPr="00DD2E74">
        <w:rPr>
          <w:rFonts w:ascii="仿宋_GB2312" w:eastAsia="仿宋_GB2312" w:hint="eastAsia"/>
          <w:sz w:val="32"/>
          <w:szCs w:val="32"/>
        </w:rPr>
        <w:t>严格按预算执行，预决算对比无差异</w:t>
      </w:r>
      <w:r w:rsidRPr="00DD2E74">
        <w:rPr>
          <w:rFonts w:ascii="仿宋_GB2312" w:eastAsia="仿宋_GB2312" w:hint="eastAsia"/>
          <w:sz w:val="32"/>
          <w:szCs w:val="32"/>
        </w:rPr>
        <w:t>。</w:t>
      </w:r>
    </w:p>
    <w:p w14:paraId="3C22A2E8" w14:textId="77777777" w:rsidR="00897FD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2DF5778"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F910406"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F25AC6F"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6501CCD" w14:textId="77777777" w:rsidR="00897FD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A6DCC52" w14:textId="77777777" w:rsidR="00897FD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1445CB3" w14:textId="01505A6B" w:rsidR="00897FDB" w:rsidRPr="00DD2E74" w:rsidRDefault="00000000" w:rsidP="00DD2E74">
      <w:pPr>
        <w:ind w:firstLineChars="200" w:firstLine="640"/>
        <w:rPr>
          <w:rFonts w:ascii="仿宋_GB2312" w:eastAsia="仿宋_GB2312"/>
          <w:sz w:val="32"/>
          <w:szCs w:val="32"/>
        </w:rPr>
      </w:pPr>
      <w:bookmarkStart w:id="24" w:name="_Toc227"/>
      <w:bookmarkStart w:id="25" w:name="_Toc26704"/>
      <w:r w:rsidRPr="00DD2E74">
        <w:rPr>
          <w:rFonts w:ascii="仿宋_GB2312" w:eastAsia="仿宋_GB2312" w:hint="eastAsia"/>
          <w:sz w:val="32"/>
          <w:szCs w:val="32"/>
        </w:rPr>
        <w:t>2023年度中共木垒哈萨克自治县委员会党校（事业单</w:t>
      </w:r>
      <w:r w:rsidRPr="00DD2E74">
        <w:rPr>
          <w:rFonts w:ascii="仿宋_GB2312" w:eastAsia="仿宋_GB2312" w:hint="eastAsia"/>
          <w:sz w:val="32"/>
          <w:szCs w:val="32"/>
        </w:rPr>
        <w:lastRenderedPageBreak/>
        <w:t>位）公用经费支出7.81万元，比上年减少9.0</w:t>
      </w:r>
      <w:r w:rsidR="005C2B20">
        <w:rPr>
          <w:rFonts w:ascii="仿宋_GB2312" w:eastAsia="仿宋_GB2312" w:hint="eastAsia"/>
          <w:sz w:val="32"/>
          <w:szCs w:val="32"/>
        </w:rPr>
        <w:t>7</w:t>
      </w:r>
      <w:r w:rsidRPr="00DD2E74">
        <w:rPr>
          <w:rFonts w:ascii="仿宋_GB2312" w:eastAsia="仿宋_GB2312" w:hint="eastAsia"/>
          <w:sz w:val="32"/>
          <w:szCs w:val="32"/>
        </w:rPr>
        <w:t>万元，下降53.7</w:t>
      </w:r>
      <w:r w:rsidR="005C2B20">
        <w:rPr>
          <w:rFonts w:ascii="仿宋_GB2312" w:eastAsia="仿宋_GB2312" w:hint="eastAsia"/>
          <w:sz w:val="32"/>
          <w:szCs w:val="32"/>
        </w:rPr>
        <w:t>3</w:t>
      </w:r>
      <w:r w:rsidRPr="00DD2E74">
        <w:rPr>
          <w:rFonts w:ascii="仿宋_GB2312" w:eastAsia="仿宋_GB2312" w:hint="eastAsia"/>
          <w:sz w:val="32"/>
          <w:szCs w:val="32"/>
        </w:rPr>
        <w:t>%，主要原因是：</w:t>
      </w:r>
      <w:r w:rsidR="00DD2E74">
        <w:rPr>
          <w:rFonts w:ascii="仿宋_GB2312" w:eastAsia="仿宋_GB2312" w:hint="eastAsia"/>
          <w:sz w:val="32"/>
          <w:szCs w:val="32"/>
        </w:rPr>
        <w:t>单位本年办公费、水费、电费、差旅费减少</w:t>
      </w:r>
      <w:r w:rsidRPr="00DD2E74">
        <w:rPr>
          <w:rFonts w:ascii="仿宋_GB2312" w:eastAsia="仿宋_GB2312" w:hint="eastAsia"/>
          <w:sz w:val="32"/>
          <w:szCs w:val="32"/>
        </w:rPr>
        <w:t>。</w:t>
      </w:r>
    </w:p>
    <w:p w14:paraId="16A5230F" w14:textId="77777777" w:rsidR="00897FD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83EBCBB"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2023年度政府采购支出总额22.73万元，其中：政府采购货物支出9.79万元、政府采购工程支出2.27万元、政府采购服务支出10.67万元。</w:t>
      </w:r>
    </w:p>
    <w:p w14:paraId="79DB3A4E"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授予中小企业合同金额18.30万元，占政府采购支出总额的80.51</w:t>
      </w:r>
      <w:r w:rsidRPr="00DD2E74">
        <w:rPr>
          <w:rFonts w:ascii="仿宋_GB2312" w:eastAsia="仿宋_GB2312"/>
          <w:sz w:val="32"/>
          <w:szCs w:val="32"/>
        </w:rPr>
        <w:t>%</w:t>
      </w:r>
      <w:r w:rsidRPr="00DD2E74">
        <w:rPr>
          <w:rFonts w:ascii="仿宋_GB2312" w:eastAsia="仿宋_GB2312" w:hint="eastAsia"/>
          <w:sz w:val="32"/>
          <w:szCs w:val="32"/>
        </w:rPr>
        <w:t>，其中：授予小</w:t>
      </w:r>
      <w:proofErr w:type="gramStart"/>
      <w:r w:rsidRPr="00DD2E74">
        <w:rPr>
          <w:rFonts w:ascii="仿宋_GB2312" w:eastAsia="仿宋_GB2312" w:hint="eastAsia"/>
          <w:sz w:val="32"/>
          <w:szCs w:val="32"/>
        </w:rPr>
        <w:t>微企业</w:t>
      </w:r>
      <w:proofErr w:type="gramEnd"/>
      <w:r w:rsidRPr="00DD2E74">
        <w:rPr>
          <w:rFonts w:ascii="仿宋_GB2312" w:eastAsia="仿宋_GB2312" w:hint="eastAsia"/>
          <w:sz w:val="32"/>
          <w:szCs w:val="32"/>
        </w:rPr>
        <w:t>合同金额18.30万元，占政府采购支出总额的80.51</w:t>
      </w:r>
      <w:r w:rsidRPr="00DD2E74">
        <w:rPr>
          <w:rFonts w:ascii="仿宋_GB2312" w:eastAsia="仿宋_GB2312"/>
          <w:sz w:val="32"/>
          <w:szCs w:val="32"/>
        </w:rPr>
        <w:t>%</w:t>
      </w:r>
      <w:r w:rsidRPr="00DD2E74">
        <w:rPr>
          <w:rFonts w:ascii="仿宋_GB2312" w:eastAsia="仿宋_GB2312" w:hint="eastAsia"/>
          <w:sz w:val="32"/>
          <w:szCs w:val="32"/>
        </w:rPr>
        <w:t>。</w:t>
      </w:r>
    </w:p>
    <w:p w14:paraId="6A58C383" w14:textId="77777777" w:rsidR="00897FD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A51581F" w14:textId="784345C3"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截至2023年12月31日，固定资产原值1,515.90万元，房屋6</w:t>
      </w:r>
      <w:r w:rsidR="00DD2E74">
        <w:rPr>
          <w:rFonts w:ascii="仿宋_GB2312" w:eastAsia="仿宋_GB2312" w:hint="eastAsia"/>
          <w:sz w:val="32"/>
          <w:szCs w:val="32"/>
        </w:rPr>
        <w:t>,</w:t>
      </w:r>
      <w:r w:rsidRPr="00DD2E74">
        <w:rPr>
          <w:rFonts w:ascii="仿宋_GB2312" w:eastAsia="仿宋_GB2312" w:hint="eastAsia"/>
          <w:sz w:val="32"/>
          <w:szCs w:val="32"/>
        </w:rPr>
        <w:t>618.99平方米，价值1,283.03万元。车辆0辆，价值0.00万元，其中：副部（省）级及以上领导用车0辆、主要负责人用车0辆、机要通信用车0辆、应急保障用车0辆、执法执勤用车0辆、特种专业技术用车0辆、离退休干部服务用车0辆、其他用车0辆，其他用车主要是：</w:t>
      </w:r>
      <w:r w:rsidR="00DD2E74">
        <w:rPr>
          <w:rFonts w:ascii="仿宋_GB2312" w:eastAsia="仿宋_GB2312" w:hint="eastAsia"/>
          <w:sz w:val="32"/>
          <w:szCs w:val="32"/>
        </w:rPr>
        <w:t>单位无其他车辆</w:t>
      </w:r>
      <w:r w:rsidRPr="00DD2E74">
        <w:rPr>
          <w:rFonts w:ascii="仿宋_GB2312" w:eastAsia="仿宋_GB2312" w:hint="eastAsia"/>
          <w:sz w:val="32"/>
          <w:szCs w:val="32"/>
        </w:rPr>
        <w:t>；单价100万元（含）以上设备（不含车辆）0台（套）。</w:t>
      </w:r>
    </w:p>
    <w:p w14:paraId="4DAE8DCE" w14:textId="77777777" w:rsidR="00897FD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82EAEF" w14:textId="634788A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D2E74">
        <w:rPr>
          <w:rFonts w:ascii="仿宋_GB2312" w:eastAsia="仿宋_GB2312" w:hint="eastAsia"/>
          <w:sz w:val="32"/>
          <w:szCs w:val="32"/>
        </w:rPr>
        <w:t>501.65</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DD2E74">
        <w:rPr>
          <w:rFonts w:ascii="仿宋_GB2312" w:eastAsia="仿宋_GB2312" w:hint="eastAsia"/>
          <w:sz w:val="32"/>
          <w:szCs w:val="32"/>
        </w:rPr>
        <w:t>501.61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D2E74">
        <w:rPr>
          <w:rFonts w:ascii="仿宋_GB2312" w:eastAsia="仿宋_GB2312" w:hint="eastAsia"/>
          <w:sz w:val="32"/>
          <w:szCs w:val="32"/>
        </w:rPr>
        <w:t>0</w:t>
      </w:r>
      <w:r>
        <w:rPr>
          <w:rFonts w:ascii="仿宋_GB2312" w:eastAsia="仿宋_GB2312" w:hint="eastAsia"/>
          <w:sz w:val="32"/>
          <w:szCs w:val="32"/>
        </w:rPr>
        <w:t>个，全年预算数</w:t>
      </w:r>
      <w:r w:rsidR="00DD2E74">
        <w:rPr>
          <w:rFonts w:ascii="仿宋_GB2312" w:eastAsia="仿宋_GB2312" w:hint="eastAsia"/>
          <w:sz w:val="32"/>
          <w:szCs w:val="32"/>
        </w:rPr>
        <w:t>0.00</w:t>
      </w:r>
      <w:r>
        <w:rPr>
          <w:rFonts w:ascii="仿宋_GB2312" w:eastAsia="仿宋_GB2312" w:hint="eastAsia"/>
          <w:sz w:val="32"/>
          <w:szCs w:val="32"/>
        </w:rPr>
        <w:t>万元，全年执行数</w:t>
      </w:r>
      <w:r w:rsidR="00DD2E74">
        <w:rPr>
          <w:rFonts w:ascii="仿宋_GB2312" w:eastAsia="仿宋_GB2312" w:hint="eastAsia"/>
          <w:sz w:val="32"/>
          <w:szCs w:val="32"/>
        </w:rPr>
        <w:t>0.00</w:t>
      </w:r>
      <w:r>
        <w:rPr>
          <w:rFonts w:ascii="仿宋_GB2312" w:eastAsia="仿宋_GB2312" w:hint="eastAsia"/>
          <w:sz w:val="32"/>
          <w:szCs w:val="32"/>
        </w:rPr>
        <w:t>万元。</w:t>
      </w:r>
      <w:r w:rsidR="00DD2E74" w:rsidRPr="00DD2E74">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 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5"/>
        <w:gridCol w:w="1060"/>
        <w:gridCol w:w="1054"/>
        <w:gridCol w:w="1231"/>
        <w:gridCol w:w="887"/>
        <w:gridCol w:w="844"/>
        <w:gridCol w:w="616"/>
      </w:tblGrid>
      <w:tr w:rsidR="00DD2E74" w:rsidRPr="00DD2E74" w14:paraId="00F067BF" w14:textId="77777777" w:rsidTr="00DD2E74">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64B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部门（单位）整体支出绩效目标自评表</w:t>
            </w:r>
          </w:p>
        </w:tc>
      </w:tr>
      <w:tr w:rsidR="00DD2E74" w:rsidRPr="00DD2E74" w14:paraId="2E310D10" w14:textId="77777777" w:rsidTr="00DD2E74">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C4C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（2023年度）</w:t>
            </w:r>
          </w:p>
        </w:tc>
      </w:tr>
      <w:tr w:rsidR="00DD2E74" w:rsidRPr="00DD2E74" w14:paraId="5CC11F49" w14:textId="77777777" w:rsidTr="00DD2E74">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EE1D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DBAA7B8" w14:textId="0B893CB9"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木垒县党校</w:t>
            </w:r>
          </w:p>
        </w:tc>
      </w:tr>
      <w:tr w:rsidR="00DD2E74" w:rsidRPr="00DD2E74" w14:paraId="5C24926E" w14:textId="77777777" w:rsidTr="00DD2E74">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A292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769C41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资金来源</w:t>
            </w:r>
          </w:p>
        </w:tc>
        <w:tc>
          <w:tcPr>
            <w:tcW w:w="1060" w:type="dxa"/>
            <w:tcBorders>
              <w:top w:val="nil"/>
              <w:left w:val="nil"/>
              <w:bottom w:val="single" w:sz="4" w:space="0" w:color="auto"/>
              <w:right w:val="single" w:sz="4" w:space="0" w:color="auto"/>
            </w:tcBorders>
            <w:shd w:val="clear" w:color="auto" w:fill="auto"/>
            <w:vAlign w:val="center"/>
            <w:hideMark/>
          </w:tcPr>
          <w:p w14:paraId="7F956B9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年初预算数</w:t>
            </w:r>
          </w:p>
        </w:tc>
        <w:tc>
          <w:tcPr>
            <w:tcW w:w="1054" w:type="dxa"/>
            <w:tcBorders>
              <w:top w:val="nil"/>
              <w:left w:val="nil"/>
              <w:bottom w:val="single" w:sz="4" w:space="0" w:color="auto"/>
              <w:right w:val="single" w:sz="4" w:space="0" w:color="auto"/>
            </w:tcBorders>
            <w:shd w:val="clear" w:color="auto" w:fill="auto"/>
            <w:vAlign w:val="center"/>
            <w:hideMark/>
          </w:tcPr>
          <w:p w14:paraId="224E797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全年预算数</w:t>
            </w:r>
          </w:p>
        </w:tc>
        <w:tc>
          <w:tcPr>
            <w:tcW w:w="1231" w:type="dxa"/>
            <w:tcBorders>
              <w:top w:val="nil"/>
              <w:left w:val="nil"/>
              <w:bottom w:val="single" w:sz="4" w:space="0" w:color="auto"/>
              <w:right w:val="single" w:sz="4" w:space="0" w:color="auto"/>
            </w:tcBorders>
            <w:shd w:val="clear" w:color="auto" w:fill="auto"/>
            <w:vAlign w:val="center"/>
            <w:hideMark/>
          </w:tcPr>
          <w:p w14:paraId="3797C29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全年执行数</w:t>
            </w:r>
          </w:p>
        </w:tc>
        <w:tc>
          <w:tcPr>
            <w:tcW w:w="887" w:type="dxa"/>
            <w:tcBorders>
              <w:top w:val="nil"/>
              <w:left w:val="nil"/>
              <w:bottom w:val="single" w:sz="4" w:space="0" w:color="auto"/>
              <w:right w:val="single" w:sz="4" w:space="0" w:color="auto"/>
            </w:tcBorders>
            <w:shd w:val="clear" w:color="auto" w:fill="auto"/>
            <w:vAlign w:val="center"/>
            <w:hideMark/>
          </w:tcPr>
          <w:p w14:paraId="541129A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分值权重</w:t>
            </w:r>
          </w:p>
        </w:tc>
        <w:tc>
          <w:tcPr>
            <w:tcW w:w="844" w:type="dxa"/>
            <w:tcBorders>
              <w:top w:val="nil"/>
              <w:left w:val="nil"/>
              <w:bottom w:val="single" w:sz="4" w:space="0" w:color="auto"/>
              <w:right w:val="single" w:sz="4" w:space="0" w:color="auto"/>
            </w:tcBorders>
            <w:shd w:val="clear" w:color="auto" w:fill="auto"/>
            <w:vAlign w:val="center"/>
            <w:hideMark/>
          </w:tcPr>
          <w:p w14:paraId="317866E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7310875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得分</w:t>
            </w:r>
          </w:p>
        </w:tc>
      </w:tr>
      <w:tr w:rsidR="00DD2E74" w:rsidRPr="00DD2E74" w14:paraId="7F6793FA"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7BF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A2ADC8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中央安排</w:t>
            </w:r>
          </w:p>
        </w:tc>
        <w:tc>
          <w:tcPr>
            <w:tcW w:w="1060" w:type="dxa"/>
            <w:tcBorders>
              <w:top w:val="nil"/>
              <w:left w:val="nil"/>
              <w:bottom w:val="single" w:sz="4" w:space="0" w:color="auto"/>
              <w:right w:val="single" w:sz="4" w:space="0" w:color="auto"/>
            </w:tcBorders>
            <w:shd w:val="clear" w:color="auto" w:fill="auto"/>
            <w:vAlign w:val="center"/>
            <w:hideMark/>
          </w:tcPr>
          <w:p w14:paraId="795AA4B8" w14:textId="27BA9F02"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256E25D9" w14:textId="23AFB823"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0DAECB2E" w14:textId="225E5E6A"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05B552E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183AC57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21B6DDC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033ADFFF"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D8D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2006E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自治区安排</w:t>
            </w:r>
          </w:p>
        </w:tc>
        <w:tc>
          <w:tcPr>
            <w:tcW w:w="1060" w:type="dxa"/>
            <w:tcBorders>
              <w:top w:val="nil"/>
              <w:left w:val="nil"/>
              <w:bottom w:val="single" w:sz="4" w:space="0" w:color="auto"/>
              <w:right w:val="single" w:sz="4" w:space="0" w:color="auto"/>
            </w:tcBorders>
            <w:shd w:val="clear" w:color="auto" w:fill="auto"/>
            <w:vAlign w:val="center"/>
            <w:hideMark/>
          </w:tcPr>
          <w:p w14:paraId="35B682DF" w14:textId="1316EF4E"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35C77782" w14:textId="4CE9C9D9"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40408F8B" w14:textId="2B47469F"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07CF8EC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40A451F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7AEA228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0D073E49"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FC67"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72A8D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地（州、市）安排</w:t>
            </w:r>
          </w:p>
        </w:tc>
        <w:tc>
          <w:tcPr>
            <w:tcW w:w="1060" w:type="dxa"/>
            <w:tcBorders>
              <w:top w:val="nil"/>
              <w:left w:val="nil"/>
              <w:bottom w:val="single" w:sz="4" w:space="0" w:color="auto"/>
              <w:right w:val="single" w:sz="4" w:space="0" w:color="auto"/>
            </w:tcBorders>
            <w:shd w:val="clear" w:color="auto" w:fill="auto"/>
            <w:vAlign w:val="center"/>
            <w:hideMark/>
          </w:tcPr>
          <w:p w14:paraId="3FC39A55" w14:textId="3C333B58"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4E048AF7" w14:textId="6A4CCB10"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1F5408A3" w14:textId="528A0370"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75DC260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19AD0D4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EE3322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5C2B20" w:rsidRPr="00DD2E74" w14:paraId="42D79D10"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D3AA1" w14:textId="77777777" w:rsidR="005C2B20" w:rsidRPr="005C2B20" w:rsidRDefault="005C2B20" w:rsidP="005C2B20">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EF1099"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县（市、区）安排</w:t>
            </w:r>
          </w:p>
        </w:tc>
        <w:tc>
          <w:tcPr>
            <w:tcW w:w="1060" w:type="dxa"/>
            <w:tcBorders>
              <w:top w:val="nil"/>
              <w:left w:val="nil"/>
              <w:bottom w:val="single" w:sz="4" w:space="0" w:color="auto"/>
              <w:right w:val="single" w:sz="4" w:space="0" w:color="auto"/>
            </w:tcBorders>
            <w:shd w:val="clear" w:color="auto" w:fill="auto"/>
            <w:vAlign w:val="center"/>
            <w:hideMark/>
          </w:tcPr>
          <w:p w14:paraId="0A5C9CD2"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373.36</w:t>
            </w:r>
          </w:p>
        </w:tc>
        <w:tc>
          <w:tcPr>
            <w:tcW w:w="1054" w:type="dxa"/>
            <w:tcBorders>
              <w:top w:val="nil"/>
              <w:left w:val="nil"/>
              <w:bottom w:val="single" w:sz="4" w:space="0" w:color="auto"/>
              <w:right w:val="single" w:sz="4" w:space="0" w:color="auto"/>
            </w:tcBorders>
            <w:shd w:val="clear" w:color="auto" w:fill="auto"/>
            <w:vAlign w:val="center"/>
            <w:hideMark/>
          </w:tcPr>
          <w:p w14:paraId="1DF8D299" w14:textId="229CB7B9"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501.65</w:t>
            </w:r>
          </w:p>
        </w:tc>
        <w:tc>
          <w:tcPr>
            <w:tcW w:w="1231" w:type="dxa"/>
            <w:tcBorders>
              <w:top w:val="nil"/>
              <w:left w:val="nil"/>
              <w:bottom w:val="single" w:sz="4" w:space="0" w:color="auto"/>
              <w:right w:val="single" w:sz="4" w:space="0" w:color="auto"/>
            </w:tcBorders>
            <w:shd w:val="clear" w:color="auto" w:fill="auto"/>
            <w:vAlign w:val="center"/>
            <w:hideMark/>
          </w:tcPr>
          <w:p w14:paraId="6DB3F4CC"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501.61</w:t>
            </w:r>
          </w:p>
        </w:tc>
        <w:tc>
          <w:tcPr>
            <w:tcW w:w="887" w:type="dxa"/>
            <w:tcBorders>
              <w:top w:val="nil"/>
              <w:left w:val="nil"/>
              <w:bottom w:val="single" w:sz="4" w:space="0" w:color="auto"/>
              <w:right w:val="single" w:sz="4" w:space="0" w:color="auto"/>
            </w:tcBorders>
            <w:shd w:val="clear" w:color="auto" w:fill="auto"/>
            <w:vAlign w:val="center"/>
            <w:hideMark/>
          </w:tcPr>
          <w:p w14:paraId="2BC31F4F" w14:textId="03779DF8"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7794F46F" w14:textId="0E9EF82E"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8724541" w14:textId="391579D6"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5C2B20" w:rsidRPr="00DD2E74" w14:paraId="7E4D733F"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14F78" w14:textId="77777777" w:rsidR="005C2B20" w:rsidRPr="005C2B20" w:rsidRDefault="005C2B20" w:rsidP="005C2B20">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429493"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其他资金</w:t>
            </w:r>
          </w:p>
        </w:tc>
        <w:tc>
          <w:tcPr>
            <w:tcW w:w="1060" w:type="dxa"/>
            <w:tcBorders>
              <w:top w:val="nil"/>
              <w:left w:val="nil"/>
              <w:bottom w:val="single" w:sz="4" w:space="0" w:color="auto"/>
              <w:right w:val="single" w:sz="4" w:space="0" w:color="auto"/>
            </w:tcBorders>
            <w:shd w:val="clear" w:color="auto" w:fill="auto"/>
            <w:vAlign w:val="center"/>
            <w:hideMark/>
          </w:tcPr>
          <w:p w14:paraId="724A870B" w14:textId="4B745D2E"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302BA151" w14:textId="6BEC4259"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14D86A3C" w14:textId="3E8EC4B2"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4D70300D" w14:textId="1614E1FF"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63F03BA9" w14:textId="2D23BA4F"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22DB38A" w14:textId="328D5158"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5EBB3482"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B27F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4997D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合计</w:t>
            </w:r>
          </w:p>
        </w:tc>
        <w:tc>
          <w:tcPr>
            <w:tcW w:w="1060" w:type="dxa"/>
            <w:tcBorders>
              <w:top w:val="nil"/>
              <w:left w:val="nil"/>
              <w:bottom w:val="single" w:sz="4" w:space="0" w:color="auto"/>
              <w:right w:val="single" w:sz="4" w:space="0" w:color="auto"/>
            </w:tcBorders>
            <w:shd w:val="clear" w:color="auto" w:fill="auto"/>
            <w:vAlign w:val="center"/>
            <w:hideMark/>
          </w:tcPr>
          <w:p w14:paraId="2452A38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373.36</w:t>
            </w:r>
          </w:p>
        </w:tc>
        <w:tc>
          <w:tcPr>
            <w:tcW w:w="1054" w:type="dxa"/>
            <w:tcBorders>
              <w:top w:val="nil"/>
              <w:left w:val="nil"/>
              <w:bottom w:val="single" w:sz="4" w:space="0" w:color="auto"/>
              <w:right w:val="single" w:sz="4" w:space="0" w:color="auto"/>
            </w:tcBorders>
            <w:shd w:val="clear" w:color="auto" w:fill="auto"/>
            <w:vAlign w:val="center"/>
            <w:hideMark/>
          </w:tcPr>
          <w:p w14:paraId="1157D054" w14:textId="6817CB71"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501.65</w:t>
            </w:r>
          </w:p>
        </w:tc>
        <w:tc>
          <w:tcPr>
            <w:tcW w:w="1231" w:type="dxa"/>
            <w:tcBorders>
              <w:top w:val="nil"/>
              <w:left w:val="nil"/>
              <w:bottom w:val="single" w:sz="4" w:space="0" w:color="auto"/>
              <w:right w:val="single" w:sz="4" w:space="0" w:color="auto"/>
            </w:tcBorders>
            <w:shd w:val="clear" w:color="auto" w:fill="auto"/>
            <w:vAlign w:val="center"/>
            <w:hideMark/>
          </w:tcPr>
          <w:p w14:paraId="70DFE40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501.61</w:t>
            </w:r>
          </w:p>
        </w:tc>
        <w:tc>
          <w:tcPr>
            <w:tcW w:w="887" w:type="dxa"/>
            <w:tcBorders>
              <w:top w:val="nil"/>
              <w:left w:val="nil"/>
              <w:bottom w:val="single" w:sz="4" w:space="0" w:color="auto"/>
              <w:right w:val="single" w:sz="4" w:space="0" w:color="auto"/>
            </w:tcBorders>
            <w:shd w:val="clear" w:color="auto" w:fill="auto"/>
            <w:vAlign w:val="center"/>
            <w:hideMark/>
          </w:tcPr>
          <w:p w14:paraId="583BE59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0CE4A8A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3B26E8B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16AF7614" w14:textId="77777777" w:rsidTr="00DD2E74">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DA529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年度总体目标</w:t>
            </w:r>
          </w:p>
        </w:tc>
        <w:tc>
          <w:tcPr>
            <w:tcW w:w="31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A046C0"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预期目标</w:t>
            </w:r>
          </w:p>
        </w:tc>
        <w:tc>
          <w:tcPr>
            <w:tcW w:w="357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C6F4F0"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实际完成情况</w:t>
            </w:r>
          </w:p>
        </w:tc>
      </w:tr>
      <w:tr w:rsidR="00DD2E74" w:rsidRPr="00DD2E74" w14:paraId="66D47194" w14:textId="77777777" w:rsidTr="00DD2E74">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19D67" w14:textId="77777777" w:rsidR="00DD2E74" w:rsidRPr="005C2B20" w:rsidRDefault="00DD2E74" w:rsidP="00DD2E74">
            <w:pPr>
              <w:widowControl/>
              <w:jc w:val="left"/>
              <w:rPr>
                <w:rFonts w:ascii="宋体" w:hAnsi="宋体" w:cs="宋体" w:hint="eastAsia"/>
                <w:kern w:val="0"/>
                <w:sz w:val="20"/>
                <w:szCs w:val="20"/>
              </w:rPr>
            </w:pPr>
          </w:p>
        </w:tc>
        <w:tc>
          <w:tcPr>
            <w:tcW w:w="3129" w:type="dxa"/>
            <w:gridSpan w:val="3"/>
            <w:tcBorders>
              <w:top w:val="single" w:sz="4" w:space="0" w:color="auto"/>
              <w:left w:val="nil"/>
              <w:bottom w:val="single" w:sz="4" w:space="0" w:color="auto"/>
              <w:right w:val="single" w:sz="4" w:space="0" w:color="auto"/>
            </w:tcBorders>
            <w:shd w:val="clear" w:color="auto" w:fill="auto"/>
            <w:vAlign w:val="center"/>
            <w:hideMark/>
          </w:tcPr>
          <w:p w14:paraId="2A1064D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完成全州双语班、全县国语班、党校主体班次及各类培训班的组织和举办；完成单位有关培训后勤工作等；改善办学条件，提升教学水平，增强学员党性意识。</w:t>
            </w:r>
          </w:p>
        </w:tc>
        <w:tc>
          <w:tcPr>
            <w:tcW w:w="3578" w:type="dxa"/>
            <w:gridSpan w:val="4"/>
            <w:tcBorders>
              <w:top w:val="single" w:sz="4" w:space="0" w:color="auto"/>
              <w:left w:val="nil"/>
              <w:bottom w:val="single" w:sz="4" w:space="0" w:color="auto"/>
              <w:right w:val="single" w:sz="4" w:space="0" w:color="auto"/>
            </w:tcBorders>
            <w:shd w:val="clear" w:color="auto" w:fill="auto"/>
            <w:vAlign w:val="center"/>
            <w:hideMark/>
          </w:tcPr>
          <w:p w14:paraId="51F95F9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截止本单位自评节点，已完成如下工作：保障办公人员数量18人，培训按时完成率95%，培训天数60天，各类培训期数20期。完成全州双语班，全县国语班、党校主体班次及各类培训班的组织和举办，完成单位有关培训后勤工作，改善了办学条件，提升教学水平，增强学员党性意识。</w:t>
            </w:r>
          </w:p>
        </w:tc>
      </w:tr>
      <w:tr w:rsidR="00DD2E74" w:rsidRPr="00DD2E74" w14:paraId="346B03BA" w14:textId="77777777" w:rsidTr="00DD2E74">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16192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0DD0A81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二级指标</w:t>
            </w:r>
          </w:p>
        </w:tc>
        <w:tc>
          <w:tcPr>
            <w:tcW w:w="1060" w:type="dxa"/>
            <w:tcBorders>
              <w:top w:val="nil"/>
              <w:left w:val="nil"/>
              <w:bottom w:val="single" w:sz="4" w:space="0" w:color="auto"/>
              <w:right w:val="single" w:sz="4" w:space="0" w:color="auto"/>
            </w:tcBorders>
            <w:shd w:val="clear" w:color="auto" w:fill="auto"/>
            <w:vAlign w:val="center"/>
            <w:hideMark/>
          </w:tcPr>
          <w:p w14:paraId="18CD64F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三级指标</w:t>
            </w:r>
          </w:p>
        </w:tc>
        <w:tc>
          <w:tcPr>
            <w:tcW w:w="1054" w:type="dxa"/>
            <w:tcBorders>
              <w:top w:val="nil"/>
              <w:left w:val="nil"/>
              <w:bottom w:val="single" w:sz="4" w:space="0" w:color="auto"/>
              <w:right w:val="single" w:sz="4" w:space="0" w:color="auto"/>
            </w:tcBorders>
            <w:shd w:val="clear" w:color="auto" w:fill="auto"/>
            <w:vAlign w:val="center"/>
            <w:hideMark/>
          </w:tcPr>
          <w:p w14:paraId="1AA7B6D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预期指标值</w:t>
            </w:r>
          </w:p>
        </w:tc>
        <w:tc>
          <w:tcPr>
            <w:tcW w:w="1231" w:type="dxa"/>
            <w:tcBorders>
              <w:top w:val="nil"/>
              <w:left w:val="nil"/>
              <w:bottom w:val="single" w:sz="4" w:space="0" w:color="auto"/>
              <w:right w:val="single" w:sz="4" w:space="0" w:color="auto"/>
            </w:tcBorders>
            <w:shd w:val="clear" w:color="auto" w:fill="auto"/>
            <w:vAlign w:val="center"/>
            <w:hideMark/>
          </w:tcPr>
          <w:p w14:paraId="2F1F39A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指标值设定依据</w:t>
            </w:r>
          </w:p>
        </w:tc>
        <w:tc>
          <w:tcPr>
            <w:tcW w:w="887" w:type="dxa"/>
            <w:tcBorders>
              <w:top w:val="nil"/>
              <w:left w:val="nil"/>
              <w:bottom w:val="single" w:sz="4" w:space="0" w:color="auto"/>
              <w:right w:val="single" w:sz="4" w:space="0" w:color="auto"/>
            </w:tcBorders>
            <w:shd w:val="clear" w:color="auto" w:fill="auto"/>
            <w:vAlign w:val="center"/>
            <w:hideMark/>
          </w:tcPr>
          <w:p w14:paraId="5BF31DF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分值权重</w:t>
            </w:r>
          </w:p>
        </w:tc>
        <w:tc>
          <w:tcPr>
            <w:tcW w:w="844" w:type="dxa"/>
            <w:tcBorders>
              <w:top w:val="nil"/>
              <w:left w:val="nil"/>
              <w:bottom w:val="single" w:sz="4" w:space="0" w:color="auto"/>
              <w:right w:val="single" w:sz="4" w:space="0" w:color="auto"/>
            </w:tcBorders>
            <w:shd w:val="clear" w:color="auto" w:fill="auto"/>
            <w:vAlign w:val="center"/>
            <w:hideMark/>
          </w:tcPr>
          <w:p w14:paraId="18D29C2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62BE2A5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得分</w:t>
            </w:r>
          </w:p>
        </w:tc>
      </w:tr>
      <w:tr w:rsidR="00DD2E74" w:rsidRPr="00DD2E74" w14:paraId="0A6D8CCB"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7AD24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AE1FA9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vAlign w:val="center"/>
            <w:hideMark/>
          </w:tcPr>
          <w:p w14:paraId="7A570B9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保障办公人员数量</w:t>
            </w:r>
          </w:p>
        </w:tc>
        <w:tc>
          <w:tcPr>
            <w:tcW w:w="1054" w:type="dxa"/>
            <w:tcBorders>
              <w:top w:val="nil"/>
              <w:left w:val="nil"/>
              <w:bottom w:val="single" w:sz="4" w:space="0" w:color="auto"/>
              <w:right w:val="single" w:sz="4" w:space="0" w:color="auto"/>
            </w:tcBorders>
            <w:shd w:val="clear" w:color="auto" w:fill="auto"/>
            <w:vAlign w:val="center"/>
            <w:hideMark/>
          </w:tcPr>
          <w:p w14:paraId="78642AD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&gt;=18人</w:t>
            </w:r>
          </w:p>
        </w:tc>
        <w:tc>
          <w:tcPr>
            <w:tcW w:w="1231" w:type="dxa"/>
            <w:tcBorders>
              <w:top w:val="nil"/>
              <w:left w:val="nil"/>
              <w:bottom w:val="single" w:sz="4" w:space="0" w:color="auto"/>
              <w:right w:val="single" w:sz="4" w:space="0" w:color="auto"/>
            </w:tcBorders>
            <w:shd w:val="clear" w:color="auto" w:fill="auto"/>
            <w:vAlign w:val="center"/>
            <w:hideMark/>
          </w:tcPr>
          <w:p w14:paraId="35CD7B7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木垒县人民政府办公室关于印发《中共木垒哈萨克自治县委员会党校职能配置、内设机构和人民编制规定》的通知</w:t>
            </w:r>
          </w:p>
        </w:tc>
        <w:tc>
          <w:tcPr>
            <w:tcW w:w="887" w:type="dxa"/>
            <w:tcBorders>
              <w:top w:val="nil"/>
              <w:left w:val="nil"/>
              <w:bottom w:val="single" w:sz="4" w:space="0" w:color="auto"/>
              <w:right w:val="single" w:sz="4" w:space="0" w:color="auto"/>
            </w:tcBorders>
            <w:shd w:val="clear" w:color="auto" w:fill="auto"/>
            <w:vAlign w:val="center"/>
            <w:hideMark/>
          </w:tcPr>
          <w:p w14:paraId="27063E9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vAlign w:val="center"/>
            <w:hideMark/>
          </w:tcPr>
          <w:p w14:paraId="359C608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18人</w:t>
            </w:r>
          </w:p>
        </w:tc>
        <w:tc>
          <w:tcPr>
            <w:tcW w:w="616" w:type="dxa"/>
            <w:tcBorders>
              <w:top w:val="nil"/>
              <w:left w:val="nil"/>
              <w:bottom w:val="single" w:sz="4" w:space="0" w:color="auto"/>
              <w:right w:val="single" w:sz="4" w:space="0" w:color="auto"/>
            </w:tcBorders>
            <w:shd w:val="clear" w:color="auto" w:fill="auto"/>
            <w:vAlign w:val="center"/>
            <w:hideMark/>
          </w:tcPr>
          <w:p w14:paraId="4B2FF8E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71C607DC" w14:textId="77777777" w:rsidTr="00DD2E74">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F026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CC7EF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时效指标</w:t>
            </w:r>
          </w:p>
        </w:tc>
        <w:tc>
          <w:tcPr>
            <w:tcW w:w="1060" w:type="dxa"/>
            <w:tcBorders>
              <w:top w:val="nil"/>
              <w:left w:val="nil"/>
              <w:bottom w:val="single" w:sz="4" w:space="0" w:color="auto"/>
              <w:right w:val="single" w:sz="4" w:space="0" w:color="auto"/>
            </w:tcBorders>
            <w:shd w:val="clear" w:color="auto" w:fill="auto"/>
            <w:vAlign w:val="center"/>
            <w:hideMark/>
          </w:tcPr>
          <w:p w14:paraId="712F9721"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培训按时完成率</w:t>
            </w:r>
          </w:p>
        </w:tc>
        <w:tc>
          <w:tcPr>
            <w:tcW w:w="1054" w:type="dxa"/>
            <w:tcBorders>
              <w:top w:val="nil"/>
              <w:left w:val="nil"/>
              <w:bottom w:val="single" w:sz="4" w:space="0" w:color="auto"/>
              <w:right w:val="single" w:sz="4" w:space="0" w:color="auto"/>
            </w:tcBorders>
            <w:shd w:val="clear" w:color="auto" w:fill="auto"/>
            <w:vAlign w:val="center"/>
            <w:hideMark/>
          </w:tcPr>
          <w:p w14:paraId="49C5BF2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&gt;=95%</w:t>
            </w:r>
          </w:p>
        </w:tc>
        <w:tc>
          <w:tcPr>
            <w:tcW w:w="1231" w:type="dxa"/>
            <w:tcBorders>
              <w:top w:val="nil"/>
              <w:left w:val="nil"/>
              <w:bottom w:val="single" w:sz="4" w:space="0" w:color="auto"/>
              <w:right w:val="single" w:sz="4" w:space="0" w:color="auto"/>
            </w:tcBorders>
            <w:shd w:val="clear" w:color="auto" w:fill="auto"/>
            <w:vAlign w:val="center"/>
            <w:hideMark/>
          </w:tcPr>
          <w:p w14:paraId="42441AA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49BF7BC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vAlign w:val="center"/>
            <w:hideMark/>
          </w:tcPr>
          <w:p w14:paraId="51FCEFA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vAlign w:val="center"/>
            <w:hideMark/>
          </w:tcPr>
          <w:p w14:paraId="6F8238B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16810AD0"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8539"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8BB0C1"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00895C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培训天数</w:t>
            </w:r>
          </w:p>
        </w:tc>
        <w:tc>
          <w:tcPr>
            <w:tcW w:w="1054" w:type="dxa"/>
            <w:tcBorders>
              <w:top w:val="nil"/>
              <w:left w:val="nil"/>
              <w:bottom w:val="single" w:sz="4" w:space="0" w:color="auto"/>
              <w:right w:val="single" w:sz="4" w:space="0" w:color="auto"/>
            </w:tcBorders>
            <w:shd w:val="clear" w:color="auto" w:fill="auto"/>
            <w:vAlign w:val="center"/>
            <w:hideMark/>
          </w:tcPr>
          <w:p w14:paraId="0467FAC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&gt;=60天</w:t>
            </w:r>
          </w:p>
        </w:tc>
        <w:tc>
          <w:tcPr>
            <w:tcW w:w="1231" w:type="dxa"/>
            <w:tcBorders>
              <w:top w:val="nil"/>
              <w:left w:val="nil"/>
              <w:bottom w:val="single" w:sz="4" w:space="0" w:color="auto"/>
              <w:right w:val="single" w:sz="4" w:space="0" w:color="auto"/>
            </w:tcBorders>
            <w:shd w:val="clear" w:color="auto" w:fill="auto"/>
            <w:vAlign w:val="center"/>
            <w:hideMark/>
          </w:tcPr>
          <w:p w14:paraId="240D1A5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25B9026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459D1D9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60天</w:t>
            </w:r>
          </w:p>
        </w:tc>
        <w:tc>
          <w:tcPr>
            <w:tcW w:w="616" w:type="dxa"/>
            <w:tcBorders>
              <w:top w:val="nil"/>
              <w:left w:val="nil"/>
              <w:bottom w:val="single" w:sz="4" w:space="0" w:color="auto"/>
              <w:right w:val="single" w:sz="4" w:space="0" w:color="auto"/>
            </w:tcBorders>
            <w:shd w:val="clear" w:color="auto" w:fill="auto"/>
            <w:vAlign w:val="center"/>
            <w:hideMark/>
          </w:tcPr>
          <w:p w14:paraId="3785790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16AA9CA5" w14:textId="77777777" w:rsidTr="00DD2E74">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89E6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1FB9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vAlign w:val="center"/>
            <w:hideMark/>
          </w:tcPr>
          <w:p w14:paraId="038E650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各类培训期数</w:t>
            </w:r>
          </w:p>
        </w:tc>
        <w:tc>
          <w:tcPr>
            <w:tcW w:w="1054" w:type="dxa"/>
            <w:tcBorders>
              <w:top w:val="nil"/>
              <w:left w:val="nil"/>
              <w:bottom w:val="single" w:sz="4" w:space="0" w:color="auto"/>
              <w:right w:val="single" w:sz="4" w:space="0" w:color="auto"/>
            </w:tcBorders>
            <w:shd w:val="clear" w:color="auto" w:fill="auto"/>
            <w:vAlign w:val="center"/>
            <w:hideMark/>
          </w:tcPr>
          <w:p w14:paraId="08C6200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&gt;=20期</w:t>
            </w:r>
          </w:p>
        </w:tc>
        <w:tc>
          <w:tcPr>
            <w:tcW w:w="1231" w:type="dxa"/>
            <w:tcBorders>
              <w:top w:val="nil"/>
              <w:left w:val="nil"/>
              <w:bottom w:val="single" w:sz="4" w:space="0" w:color="auto"/>
              <w:right w:val="single" w:sz="4" w:space="0" w:color="auto"/>
            </w:tcBorders>
            <w:shd w:val="clear" w:color="auto" w:fill="auto"/>
            <w:vAlign w:val="center"/>
            <w:hideMark/>
          </w:tcPr>
          <w:p w14:paraId="33C74A4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w:t>
            </w:r>
            <w:r w:rsidRPr="005C2B20">
              <w:rPr>
                <w:rFonts w:ascii="宋体" w:hAnsi="宋体" w:cs="宋体" w:hint="eastAsia"/>
                <w:kern w:val="0"/>
                <w:sz w:val="20"/>
                <w:szCs w:val="20"/>
              </w:rPr>
              <w:lastRenderedPageBreak/>
              <w:t>作计划</w:t>
            </w:r>
          </w:p>
        </w:tc>
        <w:tc>
          <w:tcPr>
            <w:tcW w:w="887" w:type="dxa"/>
            <w:tcBorders>
              <w:top w:val="nil"/>
              <w:left w:val="nil"/>
              <w:bottom w:val="single" w:sz="4" w:space="0" w:color="auto"/>
              <w:right w:val="single" w:sz="4" w:space="0" w:color="auto"/>
            </w:tcBorders>
            <w:shd w:val="clear" w:color="auto" w:fill="auto"/>
            <w:vAlign w:val="center"/>
            <w:hideMark/>
          </w:tcPr>
          <w:p w14:paraId="7F79D6F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lastRenderedPageBreak/>
              <w:t>10</w:t>
            </w:r>
          </w:p>
        </w:tc>
        <w:tc>
          <w:tcPr>
            <w:tcW w:w="844" w:type="dxa"/>
            <w:tcBorders>
              <w:top w:val="nil"/>
              <w:left w:val="nil"/>
              <w:bottom w:val="single" w:sz="4" w:space="0" w:color="auto"/>
              <w:right w:val="single" w:sz="4" w:space="0" w:color="auto"/>
            </w:tcBorders>
            <w:shd w:val="clear" w:color="auto" w:fill="auto"/>
            <w:vAlign w:val="center"/>
            <w:hideMark/>
          </w:tcPr>
          <w:p w14:paraId="0039AD8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20期</w:t>
            </w:r>
          </w:p>
        </w:tc>
        <w:tc>
          <w:tcPr>
            <w:tcW w:w="616" w:type="dxa"/>
            <w:tcBorders>
              <w:top w:val="nil"/>
              <w:left w:val="nil"/>
              <w:bottom w:val="single" w:sz="4" w:space="0" w:color="auto"/>
              <w:right w:val="single" w:sz="4" w:space="0" w:color="auto"/>
            </w:tcBorders>
            <w:shd w:val="clear" w:color="auto" w:fill="auto"/>
            <w:vAlign w:val="center"/>
            <w:hideMark/>
          </w:tcPr>
          <w:p w14:paraId="3FC228F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32230793"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330B"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DB0351"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31AF77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培训班次</w:t>
            </w:r>
          </w:p>
        </w:tc>
        <w:tc>
          <w:tcPr>
            <w:tcW w:w="1054" w:type="dxa"/>
            <w:tcBorders>
              <w:top w:val="nil"/>
              <w:left w:val="nil"/>
              <w:bottom w:val="single" w:sz="4" w:space="0" w:color="auto"/>
              <w:right w:val="single" w:sz="4" w:space="0" w:color="auto"/>
            </w:tcBorders>
            <w:shd w:val="clear" w:color="auto" w:fill="auto"/>
            <w:vAlign w:val="center"/>
            <w:hideMark/>
          </w:tcPr>
          <w:p w14:paraId="5C95780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&gt;=15次</w:t>
            </w:r>
          </w:p>
        </w:tc>
        <w:tc>
          <w:tcPr>
            <w:tcW w:w="1231" w:type="dxa"/>
            <w:tcBorders>
              <w:top w:val="nil"/>
              <w:left w:val="nil"/>
              <w:bottom w:val="single" w:sz="4" w:space="0" w:color="auto"/>
              <w:right w:val="single" w:sz="4" w:space="0" w:color="auto"/>
            </w:tcBorders>
            <w:shd w:val="clear" w:color="auto" w:fill="auto"/>
            <w:vAlign w:val="center"/>
            <w:hideMark/>
          </w:tcPr>
          <w:p w14:paraId="6D2AD43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1F1D7311"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vAlign w:val="center"/>
            <w:hideMark/>
          </w:tcPr>
          <w:p w14:paraId="47D4288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15次</w:t>
            </w:r>
          </w:p>
        </w:tc>
        <w:tc>
          <w:tcPr>
            <w:tcW w:w="616" w:type="dxa"/>
            <w:tcBorders>
              <w:top w:val="nil"/>
              <w:left w:val="nil"/>
              <w:bottom w:val="single" w:sz="4" w:space="0" w:color="auto"/>
              <w:right w:val="single" w:sz="4" w:space="0" w:color="auto"/>
            </w:tcBorders>
            <w:shd w:val="clear" w:color="auto" w:fill="auto"/>
            <w:vAlign w:val="center"/>
            <w:hideMark/>
          </w:tcPr>
          <w:p w14:paraId="31234BE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7E8651E4"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67084"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77730D4"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5298E35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受训人数</w:t>
            </w:r>
          </w:p>
        </w:tc>
        <w:tc>
          <w:tcPr>
            <w:tcW w:w="1054" w:type="dxa"/>
            <w:tcBorders>
              <w:top w:val="nil"/>
              <w:left w:val="nil"/>
              <w:bottom w:val="single" w:sz="4" w:space="0" w:color="auto"/>
              <w:right w:val="single" w:sz="4" w:space="0" w:color="auto"/>
            </w:tcBorders>
            <w:shd w:val="clear" w:color="auto" w:fill="auto"/>
            <w:vAlign w:val="center"/>
            <w:hideMark/>
          </w:tcPr>
          <w:p w14:paraId="4E55A45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&gt;=2500人次</w:t>
            </w:r>
          </w:p>
        </w:tc>
        <w:tc>
          <w:tcPr>
            <w:tcW w:w="1231" w:type="dxa"/>
            <w:tcBorders>
              <w:top w:val="nil"/>
              <w:left w:val="nil"/>
              <w:bottom w:val="single" w:sz="4" w:space="0" w:color="auto"/>
              <w:right w:val="single" w:sz="4" w:space="0" w:color="auto"/>
            </w:tcBorders>
            <w:shd w:val="clear" w:color="auto" w:fill="auto"/>
            <w:vAlign w:val="center"/>
            <w:hideMark/>
          </w:tcPr>
          <w:p w14:paraId="468F935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0D14981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vAlign w:val="center"/>
            <w:hideMark/>
          </w:tcPr>
          <w:p w14:paraId="6A1AC31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2500人次</w:t>
            </w:r>
          </w:p>
        </w:tc>
        <w:tc>
          <w:tcPr>
            <w:tcW w:w="616" w:type="dxa"/>
            <w:tcBorders>
              <w:top w:val="nil"/>
              <w:left w:val="nil"/>
              <w:bottom w:val="single" w:sz="4" w:space="0" w:color="auto"/>
              <w:right w:val="single" w:sz="4" w:space="0" w:color="auto"/>
            </w:tcBorders>
            <w:shd w:val="clear" w:color="auto" w:fill="auto"/>
            <w:vAlign w:val="center"/>
            <w:hideMark/>
          </w:tcPr>
          <w:p w14:paraId="1FBBB11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4A139B2D"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0860D" w14:textId="77777777" w:rsidR="00DD2E74" w:rsidRPr="005C2B20" w:rsidRDefault="00DD2E74" w:rsidP="00DD2E74">
            <w:pPr>
              <w:widowControl/>
              <w:jc w:val="left"/>
              <w:rPr>
                <w:rFonts w:ascii="宋体" w:hAnsi="宋体"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9235BB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质量指标</w:t>
            </w:r>
          </w:p>
        </w:tc>
        <w:tc>
          <w:tcPr>
            <w:tcW w:w="1060" w:type="dxa"/>
            <w:tcBorders>
              <w:top w:val="nil"/>
              <w:left w:val="nil"/>
              <w:bottom w:val="single" w:sz="4" w:space="0" w:color="auto"/>
              <w:right w:val="single" w:sz="4" w:space="0" w:color="auto"/>
            </w:tcBorders>
            <w:shd w:val="clear" w:color="auto" w:fill="auto"/>
            <w:noWrap/>
            <w:vAlign w:val="center"/>
            <w:hideMark/>
          </w:tcPr>
          <w:p w14:paraId="0C816D46"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课程更新率</w:t>
            </w:r>
          </w:p>
        </w:tc>
        <w:tc>
          <w:tcPr>
            <w:tcW w:w="1054" w:type="dxa"/>
            <w:tcBorders>
              <w:top w:val="nil"/>
              <w:left w:val="nil"/>
              <w:bottom w:val="single" w:sz="4" w:space="0" w:color="auto"/>
              <w:right w:val="single" w:sz="4" w:space="0" w:color="auto"/>
            </w:tcBorders>
            <w:shd w:val="clear" w:color="auto" w:fill="auto"/>
            <w:noWrap/>
            <w:vAlign w:val="center"/>
            <w:hideMark/>
          </w:tcPr>
          <w:p w14:paraId="5C49C3F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&gt;=99%</w:t>
            </w:r>
          </w:p>
        </w:tc>
        <w:tc>
          <w:tcPr>
            <w:tcW w:w="1231" w:type="dxa"/>
            <w:tcBorders>
              <w:top w:val="nil"/>
              <w:left w:val="nil"/>
              <w:bottom w:val="single" w:sz="4" w:space="0" w:color="auto"/>
              <w:right w:val="single" w:sz="4" w:space="0" w:color="auto"/>
            </w:tcBorders>
            <w:shd w:val="clear" w:color="auto" w:fill="auto"/>
            <w:noWrap/>
            <w:vAlign w:val="center"/>
            <w:hideMark/>
          </w:tcPr>
          <w:p w14:paraId="14F0852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6A31AEAA"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noWrap/>
            <w:vAlign w:val="center"/>
            <w:hideMark/>
          </w:tcPr>
          <w:p w14:paraId="0F06AD1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99%</w:t>
            </w:r>
          </w:p>
        </w:tc>
        <w:tc>
          <w:tcPr>
            <w:tcW w:w="616" w:type="dxa"/>
            <w:tcBorders>
              <w:top w:val="nil"/>
              <w:left w:val="nil"/>
              <w:bottom w:val="single" w:sz="4" w:space="0" w:color="auto"/>
              <w:right w:val="single" w:sz="4" w:space="0" w:color="auto"/>
            </w:tcBorders>
            <w:shd w:val="clear" w:color="auto" w:fill="auto"/>
            <w:noWrap/>
            <w:vAlign w:val="center"/>
            <w:hideMark/>
          </w:tcPr>
          <w:p w14:paraId="0E2C06F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4EBF5201"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4F3B3"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75F884"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noWrap/>
            <w:vAlign w:val="center"/>
            <w:hideMark/>
          </w:tcPr>
          <w:p w14:paraId="7FCB956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培训出勤率</w:t>
            </w:r>
          </w:p>
        </w:tc>
        <w:tc>
          <w:tcPr>
            <w:tcW w:w="1054" w:type="dxa"/>
            <w:tcBorders>
              <w:top w:val="nil"/>
              <w:left w:val="nil"/>
              <w:bottom w:val="single" w:sz="4" w:space="0" w:color="auto"/>
              <w:right w:val="single" w:sz="4" w:space="0" w:color="auto"/>
            </w:tcBorders>
            <w:shd w:val="clear" w:color="auto" w:fill="auto"/>
            <w:noWrap/>
            <w:vAlign w:val="center"/>
            <w:hideMark/>
          </w:tcPr>
          <w:p w14:paraId="402E714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&gt;=98%</w:t>
            </w:r>
          </w:p>
        </w:tc>
        <w:tc>
          <w:tcPr>
            <w:tcW w:w="1231" w:type="dxa"/>
            <w:tcBorders>
              <w:top w:val="nil"/>
              <w:left w:val="nil"/>
              <w:bottom w:val="single" w:sz="4" w:space="0" w:color="auto"/>
              <w:right w:val="single" w:sz="4" w:space="0" w:color="auto"/>
            </w:tcBorders>
            <w:shd w:val="clear" w:color="auto" w:fill="auto"/>
            <w:noWrap/>
            <w:vAlign w:val="center"/>
            <w:hideMark/>
          </w:tcPr>
          <w:p w14:paraId="50BC4566"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61BF320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noWrap/>
            <w:vAlign w:val="center"/>
            <w:hideMark/>
          </w:tcPr>
          <w:p w14:paraId="7EEECD1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98%</w:t>
            </w:r>
          </w:p>
        </w:tc>
        <w:tc>
          <w:tcPr>
            <w:tcW w:w="616" w:type="dxa"/>
            <w:tcBorders>
              <w:top w:val="nil"/>
              <w:left w:val="nil"/>
              <w:bottom w:val="single" w:sz="4" w:space="0" w:color="auto"/>
              <w:right w:val="single" w:sz="4" w:space="0" w:color="auto"/>
            </w:tcBorders>
            <w:shd w:val="clear" w:color="auto" w:fill="auto"/>
            <w:noWrap/>
            <w:vAlign w:val="center"/>
            <w:hideMark/>
          </w:tcPr>
          <w:p w14:paraId="2A3F056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5AC66FFA"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C76F"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E24A35A"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noWrap/>
            <w:vAlign w:val="center"/>
            <w:hideMark/>
          </w:tcPr>
          <w:p w14:paraId="7E9B65B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学员结业率</w:t>
            </w:r>
          </w:p>
        </w:tc>
        <w:tc>
          <w:tcPr>
            <w:tcW w:w="1054" w:type="dxa"/>
            <w:tcBorders>
              <w:top w:val="nil"/>
              <w:left w:val="nil"/>
              <w:bottom w:val="single" w:sz="4" w:space="0" w:color="auto"/>
              <w:right w:val="single" w:sz="4" w:space="0" w:color="auto"/>
            </w:tcBorders>
            <w:shd w:val="clear" w:color="auto" w:fill="auto"/>
            <w:noWrap/>
            <w:vAlign w:val="center"/>
            <w:hideMark/>
          </w:tcPr>
          <w:p w14:paraId="2A9B371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&gt;=98%</w:t>
            </w:r>
          </w:p>
        </w:tc>
        <w:tc>
          <w:tcPr>
            <w:tcW w:w="1231" w:type="dxa"/>
            <w:tcBorders>
              <w:top w:val="nil"/>
              <w:left w:val="nil"/>
              <w:bottom w:val="single" w:sz="4" w:space="0" w:color="auto"/>
              <w:right w:val="single" w:sz="4" w:space="0" w:color="auto"/>
            </w:tcBorders>
            <w:shd w:val="clear" w:color="auto" w:fill="auto"/>
            <w:noWrap/>
            <w:vAlign w:val="center"/>
            <w:hideMark/>
          </w:tcPr>
          <w:p w14:paraId="1F9E2E9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126D8B7B"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noWrap/>
            <w:vAlign w:val="center"/>
            <w:hideMark/>
          </w:tcPr>
          <w:p w14:paraId="0F8CAB8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98%</w:t>
            </w:r>
          </w:p>
        </w:tc>
        <w:tc>
          <w:tcPr>
            <w:tcW w:w="616" w:type="dxa"/>
            <w:tcBorders>
              <w:top w:val="nil"/>
              <w:left w:val="nil"/>
              <w:bottom w:val="single" w:sz="4" w:space="0" w:color="auto"/>
              <w:right w:val="single" w:sz="4" w:space="0" w:color="auto"/>
            </w:tcBorders>
            <w:shd w:val="clear" w:color="auto" w:fill="auto"/>
            <w:noWrap/>
            <w:vAlign w:val="center"/>
            <w:hideMark/>
          </w:tcPr>
          <w:p w14:paraId="229C21B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4D2AFD2E"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A56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0B4F791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noWrap/>
            <w:vAlign w:val="center"/>
            <w:hideMark/>
          </w:tcPr>
          <w:p w14:paraId="02E5550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学员合理诉求解决率</w:t>
            </w:r>
          </w:p>
        </w:tc>
        <w:tc>
          <w:tcPr>
            <w:tcW w:w="1054" w:type="dxa"/>
            <w:tcBorders>
              <w:top w:val="nil"/>
              <w:left w:val="nil"/>
              <w:bottom w:val="single" w:sz="4" w:space="0" w:color="auto"/>
              <w:right w:val="single" w:sz="4" w:space="0" w:color="auto"/>
            </w:tcBorders>
            <w:shd w:val="clear" w:color="auto" w:fill="auto"/>
            <w:noWrap/>
            <w:vAlign w:val="center"/>
            <w:hideMark/>
          </w:tcPr>
          <w:p w14:paraId="32FCAA9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&gt;=99%</w:t>
            </w:r>
          </w:p>
        </w:tc>
        <w:tc>
          <w:tcPr>
            <w:tcW w:w="1231" w:type="dxa"/>
            <w:tcBorders>
              <w:top w:val="nil"/>
              <w:left w:val="nil"/>
              <w:bottom w:val="single" w:sz="4" w:space="0" w:color="auto"/>
              <w:right w:val="single" w:sz="4" w:space="0" w:color="auto"/>
            </w:tcBorders>
            <w:shd w:val="clear" w:color="auto" w:fill="auto"/>
            <w:noWrap/>
            <w:vAlign w:val="center"/>
            <w:hideMark/>
          </w:tcPr>
          <w:p w14:paraId="2228442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7DCBAE4F"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noWrap/>
            <w:vAlign w:val="center"/>
            <w:hideMark/>
          </w:tcPr>
          <w:p w14:paraId="09EB0F9A"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99%</w:t>
            </w:r>
          </w:p>
        </w:tc>
        <w:tc>
          <w:tcPr>
            <w:tcW w:w="616" w:type="dxa"/>
            <w:tcBorders>
              <w:top w:val="nil"/>
              <w:left w:val="nil"/>
              <w:bottom w:val="single" w:sz="4" w:space="0" w:color="auto"/>
              <w:right w:val="single" w:sz="4" w:space="0" w:color="auto"/>
            </w:tcBorders>
            <w:shd w:val="clear" w:color="auto" w:fill="auto"/>
            <w:noWrap/>
            <w:vAlign w:val="center"/>
            <w:hideMark/>
          </w:tcPr>
          <w:p w14:paraId="19C2470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3793117A"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FA54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5B561C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4A74CAD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054" w:type="dxa"/>
            <w:tcBorders>
              <w:top w:val="nil"/>
              <w:left w:val="nil"/>
              <w:bottom w:val="single" w:sz="4" w:space="0" w:color="auto"/>
              <w:right w:val="single" w:sz="4" w:space="0" w:color="auto"/>
            </w:tcBorders>
            <w:shd w:val="clear" w:color="auto" w:fill="auto"/>
            <w:noWrap/>
            <w:vAlign w:val="center"/>
            <w:hideMark/>
          </w:tcPr>
          <w:p w14:paraId="7D97435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14:paraId="2EFF769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14:paraId="19763164"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14:paraId="6651805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FB4D66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r>
      <w:tr w:rsidR="00DD2E74" w:rsidRPr="00DD2E74" w14:paraId="6E083804"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2552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7A599F3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质量指标</w:t>
            </w:r>
          </w:p>
        </w:tc>
        <w:tc>
          <w:tcPr>
            <w:tcW w:w="1060" w:type="dxa"/>
            <w:tcBorders>
              <w:top w:val="nil"/>
              <w:left w:val="nil"/>
              <w:bottom w:val="single" w:sz="4" w:space="0" w:color="auto"/>
              <w:right w:val="single" w:sz="4" w:space="0" w:color="auto"/>
            </w:tcBorders>
            <w:shd w:val="clear" w:color="auto" w:fill="auto"/>
            <w:noWrap/>
            <w:vAlign w:val="center"/>
            <w:hideMark/>
          </w:tcPr>
          <w:p w14:paraId="5B3E105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党校参训学员满意度</w:t>
            </w:r>
          </w:p>
        </w:tc>
        <w:tc>
          <w:tcPr>
            <w:tcW w:w="1054" w:type="dxa"/>
            <w:tcBorders>
              <w:top w:val="nil"/>
              <w:left w:val="nil"/>
              <w:bottom w:val="single" w:sz="4" w:space="0" w:color="auto"/>
              <w:right w:val="single" w:sz="4" w:space="0" w:color="auto"/>
            </w:tcBorders>
            <w:shd w:val="clear" w:color="auto" w:fill="auto"/>
            <w:noWrap/>
            <w:vAlign w:val="center"/>
            <w:hideMark/>
          </w:tcPr>
          <w:p w14:paraId="7704DFB2"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&gt;=95%</w:t>
            </w:r>
          </w:p>
        </w:tc>
        <w:tc>
          <w:tcPr>
            <w:tcW w:w="1231" w:type="dxa"/>
            <w:tcBorders>
              <w:top w:val="nil"/>
              <w:left w:val="nil"/>
              <w:bottom w:val="single" w:sz="4" w:space="0" w:color="auto"/>
              <w:right w:val="single" w:sz="4" w:space="0" w:color="auto"/>
            </w:tcBorders>
            <w:shd w:val="clear" w:color="auto" w:fill="auto"/>
            <w:noWrap/>
            <w:vAlign w:val="center"/>
            <w:hideMark/>
          </w:tcPr>
          <w:p w14:paraId="11069B9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458AAC5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noWrap/>
            <w:vAlign w:val="center"/>
            <w:hideMark/>
          </w:tcPr>
          <w:p w14:paraId="74036FC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42E533F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r>
    </w:tbl>
    <w:p w14:paraId="611D40C5" w14:textId="77777777" w:rsidR="00DD2E74" w:rsidRDefault="00DD2E74">
      <w:pPr>
        <w:ind w:firstLineChars="200" w:firstLine="640"/>
        <w:jc w:val="left"/>
        <w:rPr>
          <w:rFonts w:ascii="仿宋_GB2312" w:eastAsia="仿宋_GB2312"/>
          <w:sz w:val="32"/>
          <w:szCs w:val="32"/>
        </w:rPr>
      </w:pPr>
    </w:p>
    <w:p w14:paraId="7162CC8B" w14:textId="77777777" w:rsidR="00897FD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64DE9BA" w14:textId="3B088B64" w:rsidR="00897FD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r w:rsidR="00DD2E74">
        <w:rPr>
          <w:rFonts w:ascii="仿宋_GB2312" w:eastAsia="仿宋_GB2312" w:hAnsi="仿宋_GB2312" w:cs="仿宋_GB2312" w:hint="eastAsia"/>
          <w:kern w:val="0"/>
          <w:sz w:val="32"/>
          <w:szCs w:val="32"/>
        </w:rPr>
        <w:t>。</w:t>
      </w:r>
    </w:p>
    <w:p w14:paraId="48B8F867" w14:textId="77777777" w:rsidR="00897FD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B1E57E3"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61EA2D0"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058EF6F"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EE6686B"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840845A"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E221C01"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D992BC0"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8305957"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E02A5B"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C5D766"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E544F1"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D927FC8"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3CF844"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60D3606" w14:textId="77777777" w:rsidR="00897FD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3DE5E8B" w14:textId="77777777" w:rsidR="00897FD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4DDD694" w14:textId="77777777" w:rsidR="00897FD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D7DF508" w14:textId="77777777" w:rsidR="00897FD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42E2B1E" w14:textId="77777777" w:rsidR="00897FD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A38F770" w14:textId="77777777" w:rsidR="00897FD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6795FD9" w14:textId="77777777" w:rsidR="00897FD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95EF1B6" w14:textId="77777777" w:rsidR="00897FD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A6B797C" w14:textId="77777777" w:rsidR="00897FD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8203D86" w14:textId="77777777" w:rsidR="00897FD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7E50F59" w14:textId="77777777" w:rsidR="00897FD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98AC916" w14:textId="77777777" w:rsidR="00897FDB" w:rsidRDefault="00897FDB">
      <w:pPr>
        <w:ind w:firstLineChars="200" w:firstLine="640"/>
        <w:rPr>
          <w:rFonts w:ascii="仿宋_GB2312" w:eastAsia="仿宋_GB2312"/>
          <w:sz w:val="32"/>
          <w:szCs w:val="32"/>
        </w:rPr>
      </w:pPr>
    </w:p>
    <w:p w14:paraId="4C511F4B" w14:textId="77777777" w:rsidR="00897FDB" w:rsidRDefault="00897FDB">
      <w:pPr>
        <w:ind w:firstLineChars="200" w:firstLine="640"/>
        <w:outlineLvl w:val="1"/>
        <w:rPr>
          <w:rFonts w:ascii="黑体" w:eastAsia="黑体" w:hAnsi="黑体" w:cs="宋体" w:hint="eastAsia"/>
          <w:bCs/>
          <w:kern w:val="0"/>
          <w:sz w:val="32"/>
          <w:szCs w:val="32"/>
        </w:rPr>
      </w:pPr>
    </w:p>
    <w:sectPr w:rsidR="00897FD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36676" w14:textId="77777777" w:rsidR="0097392A" w:rsidRDefault="0097392A">
      <w:r>
        <w:separator/>
      </w:r>
    </w:p>
  </w:endnote>
  <w:endnote w:type="continuationSeparator" w:id="0">
    <w:p w14:paraId="199FB4DC" w14:textId="77777777" w:rsidR="0097392A" w:rsidRDefault="0097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400B6" w14:textId="77777777" w:rsidR="00897FDB" w:rsidRDefault="00000000">
    <w:pPr>
      <w:pStyle w:val="a4"/>
    </w:pPr>
    <w:r>
      <w:rPr>
        <w:noProof/>
      </w:rPr>
      <mc:AlternateContent>
        <mc:Choice Requires="wps">
          <w:drawing>
            <wp:anchor distT="0" distB="0" distL="114300" distR="114300" simplePos="0" relativeHeight="251659264" behindDoc="0" locked="0" layoutInCell="1" allowOverlap="1" wp14:anchorId="6619611B" wp14:editId="76AF23D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FF09E8" w14:textId="77777777" w:rsidR="00897FD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619611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FF09E8" w14:textId="77777777" w:rsidR="00897FD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9AC80" w14:textId="77777777" w:rsidR="0097392A" w:rsidRDefault="0097392A">
      <w:r>
        <w:separator/>
      </w:r>
    </w:p>
  </w:footnote>
  <w:footnote w:type="continuationSeparator" w:id="0">
    <w:p w14:paraId="56989116" w14:textId="77777777" w:rsidR="0097392A" w:rsidRDefault="00973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068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97FDB"/>
    <w:rsid w:val="000C0292"/>
    <w:rsid w:val="00136C69"/>
    <w:rsid w:val="00213C59"/>
    <w:rsid w:val="003210CE"/>
    <w:rsid w:val="003C6CD0"/>
    <w:rsid w:val="005C2B20"/>
    <w:rsid w:val="00876FA9"/>
    <w:rsid w:val="00897FDB"/>
    <w:rsid w:val="0097392A"/>
    <w:rsid w:val="00B1567F"/>
    <w:rsid w:val="00B358B7"/>
    <w:rsid w:val="00B70D59"/>
    <w:rsid w:val="00DD2E74"/>
    <w:rsid w:val="00F52A8D"/>
    <w:rsid w:val="00FA56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1BF98"/>
  <w15:docId w15:val="{1292FEEE-A796-4E23-8861-A1327DE7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552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18</Pages>
  <Words>1176</Words>
  <Characters>6706</Characters>
  <Application>Microsoft Office Word</Application>
  <DocSecurity>0</DocSecurity>
  <Lines>55</Lines>
  <Paragraphs>15</Paragraphs>
  <ScaleCrop>false</ScaleCrop>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4</cp:revision>
  <dcterms:created xsi:type="dcterms:W3CDTF">2014-10-29T12:08:00Z</dcterms:created>
  <dcterms:modified xsi:type="dcterms:W3CDTF">2024-09-02T09:23:00Z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